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30BB6" w14:textId="57D2E67B" w:rsidR="001215CC" w:rsidRPr="007F784D" w:rsidRDefault="001215CC" w:rsidP="00C7542F">
      <w:pPr>
        <w:widowControl/>
        <w:autoSpaceDE/>
        <w:autoSpaceDN/>
        <w:spacing w:after="160" w:line="259" w:lineRule="auto"/>
        <w:jc w:val="both"/>
        <w:rPr>
          <w:rFonts w:eastAsia="Calibri"/>
          <w:b/>
          <w:color w:val="2F5496"/>
          <w:lang w:eastAsia="en-US" w:bidi="ar-SA"/>
        </w:rPr>
      </w:pPr>
      <w:r w:rsidRPr="007F784D">
        <w:rPr>
          <w:rFonts w:eastAsia="Calibri"/>
          <w:b/>
          <w:color w:val="2F5496"/>
          <w:lang w:eastAsia="en-US" w:bidi="ar-SA"/>
        </w:rPr>
        <w:t xml:space="preserve">Consultation: </w:t>
      </w:r>
      <w:r w:rsidR="003A3316" w:rsidRPr="007F784D">
        <w:rPr>
          <w:rFonts w:eastAsia="Calibri"/>
          <w:b/>
          <w:color w:val="2F5496"/>
          <w:lang w:eastAsia="en-US" w:bidi="ar-SA"/>
        </w:rPr>
        <w:t xml:space="preserve">to </w:t>
      </w:r>
      <w:bookmarkStart w:id="0" w:name="_Hlk74656148"/>
      <w:r w:rsidR="00CE08B5">
        <w:rPr>
          <w:rFonts w:eastAsia="Calibri"/>
          <w:b/>
          <w:color w:val="2F5496"/>
          <w:lang w:eastAsia="en-US" w:bidi="ar-SA"/>
        </w:rPr>
        <w:t xml:space="preserve">consider </w:t>
      </w:r>
      <w:r w:rsidR="00846600">
        <w:rPr>
          <w:rFonts w:eastAsia="Calibri"/>
          <w:b/>
          <w:color w:val="2F5496"/>
          <w:lang w:eastAsia="en-US" w:bidi="ar-SA"/>
        </w:rPr>
        <w:t xml:space="preserve">whether to make an application to </w:t>
      </w:r>
      <w:r w:rsidR="0038607B">
        <w:rPr>
          <w:rFonts w:eastAsia="Calibri"/>
          <w:b/>
          <w:color w:val="2F5496"/>
          <w:lang w:eastAsia="en-US" w:bidi="ar-SA"/>
        </w:rPr>
        <w:t>be able to authorise CILEX Practitioners with litigation and advocacy rights for Higher Rights of Audience</w:t>
      </w:r>
    </w:p>
    <w:bookmarkEnd w:id="0"/>
    <w:p w14:paraId="38F508F7" w14:textId="3F664C3D" w:rsidR="001215CC" w:rsidRPr="007F784D" w:rsidRDefault="001B3D90" w:rsidP="00C7542F">
      <w:pPr>
        <w:widowControl/>
        <w:autoSpaceDE/>
        <w:autoSpaceDN/>
        <w:spacing w:after="160" w:line="259" w:lineRule="auto"/>
        <w:jc w:val="both"/>
        <w:rPr>
          <w:rFonts w:eastAsia="Calibri"/>
          <w:lang w:eastAsia="en-US" w:bidi="ar-SA"/>
        </w:rPr>
      </w:pPr>
      <w:r w:rsidRPr="007F784D">
        <w:rPr>
          <w:rFonts w:eastAsia="Calibri"/>
          <w:lang w:eastAsia="en-US" w:bidi="ar-SA"/>
        </w:rPr>
        <w:t xml:space="preserve">This </w:t>
      </w:r>
      <w:r w:rsidR="00237479" w:rsidRPr="007F784D">
        <w:rPr>
          <w:rFonts w:eastAsia="Calibri"/>
          <w:lang w:eastAsia="en-US" w:bidi="ar-SA"/>
        </w:rPr>
        <w:t xml:space="preserve">consultation </w:t>
      </w:r>
      <w:r w:rsidRPr="007F784D">
        <w:rPr>
          <w:rFonts w:eastAsia="Calibri"/>
          <w:lang w:eastAsia="en-US" w:bidi="ar-SA"/>
        </w:rPr>
        <w:t xml:space="preserve">would be of interest to </w:t>
      </w:r>
      <w:r w:rsidR="00237479" w:rsidRPr="007F784D">
        <w:rPr>
          <w:rFonts w:eastAsia="Calibri"/>
          <w:lang w:eastAsia="en-US" w:bidi="ar-SA"/>
        </w:rPr>
        <w:t xml:space="preserve">members of our regulated community and other stakeholders including </w:t>
      </w:r>
      <w:r w:rsidR="00671B75" w:rsidRPr="007F784D">
        <w:rPr>
          <w:rFonts w:eastAsia="Calibri"/>
          <w:lang w:eastAsia="en-US" w:bidi="ar-SA"/>
        </w:rPr>
        <w:t>approved regulators</w:t>
      </w:r>
      <w:r w:rsidR="00785AFF">
        <w:rPr>
          <w:rFonts w:eastAsia="Calibri"/>
          <w:lang w:eastAsia="en-US" w:bidi="ar-SA"/>
        </w:rPr>
        <w:t xml:space="preserve"> and co</w:t>
      </w:r>
      <w:r w:rsidR="00237479" w:rsidRPr="007F784D">
        <w:rPr>
          <w:rFonts w:eastAsia="Calibri"/>
          <w:lang w:eastAsia="en-US" w:bidi="ar-SA"/>
        </w:rPr>
        <w:t>nsumers of legal services.</w:t>
      </w:r>
      <w:r w:rsidRPr="007F784D">
        <w:rPr>
          <w:rFonts w:eastAsia="Calibri"/>
          <w:lang w:eastAsia="en-US" w:bidi="ar-SA"/>
        </w:rPr>
        <w:t xml:space="preserve"> </w:t>
      </w:r>
    </w:p>
    <w:p w14:paraId="2B65C4A2" w14:textId="4272A49E" w:rsidR="001215CC" w:rsidRPr="007F784D" w:rsidRDefault="001215CC" w:rsidP="00C7542F">
      <w:pPr>
        <w:widowControl/>
        <w:numPr>
          <w:ilvl w:val="0"/>
          <w:numId w:val="1"/>
        </w:numPr>
        <w:autoSpaceDE/>
        <w:autoSpaceDN/>
        <w:spacing w:after="160" w:line="259" w:lineRule="auto"/>
        <w:contextualSpacing/>
        <w:jc w:val="both"/>
        <w:rPr>
          <w:rFonts w:eastAsia="Calibri"/>
          <w:lang w:eastAsia="en-US" w:bidi="ar-SA"/>
        </w:rPr>
      </w:pPr>
      <w:r w:rsidRPr="007F784D">
        <w:rPr>
          <w:rFonts w:eastAsia="Calibri"/>
          <w:lang w:eastAsia="en-US" w:bidi="ar-SA"/>
        </w:rPr>
        <w:t>CILEx Regulation</w:t>
      </w:r>
      <w:r w:rsidR="0038607B">
        <w:rPr>
          <w:rFonts w:eastAsia="Calibri"/>
          <w:lang w:eastAsia="en-US" w:bidi="ar-SA"/>
        </w:rPr>
        <w:t xml:space="preserve"> (CRL)</w:t>
      </w:r>
      <w:r w:rsidRPr="007F784D">
        <w:rPr>
          <w:rFonts w:eastAsia="Calibri"/>
          <w:lang w:eastAsia="en-US" w:bidi="ar-SA"/>
        </w:rPr>
        <w:t xml:space="preserve"> is the independent regulator for </w:t>
      </w:r>
      <w:r w:rsidR="00360240">
        <w:rPr>
          <w:rFonts w:eastAsia="Calibri"/>
          <w:lang w:eastAsia="en-US" w:bidi="ar-SA"/>
        </w:rPr>
        <w:t>c</w:t>
      </w:r>
      <w:r w:rsidRPr="007F784D">
        <w:rPr>
          <w:rFonts w:eastAsia="Calibri"/>
          <w:lang w:eastAsia="en-US" w:bidi="ar-SA"/>
        </w:rPr>
        <w:t xml:space="preserve">hartered </w:t>
      </w:r>
      <w:r w:rsidR="00360240">
        <w:rPr>
          <w:rFonts w:eastAsia="Calibri"/>
          <w:lang w:eastAsia="en-US" w:bidi="ar-SA"/>
        </w:rPr>
        <w:t>l</w:t>
      </w:r>
      <w:r w:rsidRPr="007F784D">
        <w:rPr>
          <w:rFonts w:eastAsia="Calibri"/>
          <w:lang w:eastAsia="en-US" w:bidi="ar-SA"/>
        </w:rPr>
        <w:t xml:space="preserve">egal </w:t>
      </w:r>
      <w:r w:rsidR="00360240">
        <w:rPr>
          <w:rFonts w:eastAsia="Calibri"/>
          <w:lang w:eastAsia="en-US" w:bidi="ar-SA"/>
        </w:rPr>
        <w:t>e</w:t>
      </w:r>
      <w:r w:rsidRPr="007F784D">
        <w:rPr>
          <w:rFonts w:eastAsia="Calibri"/>
          <w:lang w:eastAsia="en-US" w:bidi="ar-SA"/>
        </w:rPr>
        <w:t>xecutives, other grades of CILE</w:t>
      </w:r>
      <w:r w:rsidR="00874030">
        <w:rPr>
          <w:rFonts w:eastAsia="Calibri"/>
          <w:lang w:eastAsia="en-US" w:bidi="ar-SA"/>
        </w:rPr>
        <w:t>X</w:t>
      </w:r>
      <w:r w:rsidRPr="007F784D">
        <w:rPr>
          <w:rFonts w:eastAsia="Calibri"/>
          <w:lang w:eastAsia="en-US" w:bidi="ar-SA"/>
        </w:rPr>
        <w:t xml:space="preserve"> membership, CILE</w:t>
      </w:r>
      <w:r w:rsidR="00874030">
        <w:rPr>
          <w:rFonts w:eastAsia="Calibri"/>
          <w:lang w:eastAsia="en-US" w:bidi="ar-SA"/>
        </w:rPr>
        <w:t>X</w:t>
      </w:r>
      <w:r w:rsidRPr="007F784D">
        <w:rPr>
          <w:rFonts w:eastAsia="Calibri"/>
          <w:lang w:eastAsia="en-US" w:bidi="ar-SA"/>
        </w:rPr>
        <w:t xml:space="preserve"> Practitioners and firms. We take a risk based and outcomes focused approach to regulation, by working constructively with our regulated community to ensure that they deliver the best outcomes for clients. We have set clear principles within our Code of Conduct and inform the public of the standards they can expect. We believe this provides a balanced approach. </w:t>
      </w:r>
    </w:p>
    <w:p w14:paraId="7A35555D" w14:textId="77777777" w:rsidR="001215CC" w:rsidRPr="007F784D" w:rsidRDefault="001215CC" w:rsidP="00C7542F">
      <w:pPr>
        <w:widowControl/>
        <w:autoSpaceDE/>
        <w:autoSpaceDN/>
        <w:spacing w:after="160" w:line="259" w:lineRule="auto"/>
        <w:ind w:left="720"/>
        <w:contextualSpacing/>
        <w:jc w:val="both"/>
        <w:rPr>
          <w:rFonts w:eastAsia="Calibri"/>
          <w:lang w:eastAsia="en-US" w:bidi="ar-SA"/>
        </w:rPr>
      </w:pPr>
    </w:p>
    <w:p w14:paraId="2FB41536" w14:textId="5F924CC3" w:rsidR="00BD2925" w:rsidRPr="00BD2925" w:rsidRDefault="001215CC" w:rsidP="007E40DA">
      <w:pPr>
        <w:widowControl/>
        <w:numPr>
          <w:ilvl w:val="0"/>
          <w:numId w:val="1"/>
        </w:numPr>
        <w:autoSpaceDE/>
        <w:autoSpaceDN/>
        <w:spacing w:after="160" w:line="259" w:lineRule="auto"/>
        <w:contextualSpacing/>
        <w:jc w:val="both"/>
        <w:rPr>
          <w:rFonts w:eastAsia="Calibri"/>
          <w:lang w:eastAsia="en-US" w:bidi="ar-SA"/>
        </w:rPr>
      </w:pPr>
      <w:r w:rsidRPr="00BD2925">
        <w:rPr>
          <w:rFonts w:eastAsia="Calibri"/>
          <w:lang w:eastAsia="en-US" w:bidi="ar-SA"/>
        </w:rPr>
        <w:t xml:space="preserve">The purpose of this consultation is to </w:t>
      </w:r>
      <w:r w:rsidR="0038607B" w:rsidRPr="00BD2925">
        <w:rPr>
          <w:rFonts w:eastAsia="Calibri"/>
          <w:lang w:eastAsia="en-US" w:bidi="ar-SA"/>
        </w:rPr>
        <w:t xml:space="preserve">determine whether CRL should make an application to the Legal Services Board </w:t>
      </w:r>
      <w:r w:rsidR="00352AF1" w:rsidRPr="00BD2925">
        <w:rPr>
          <w:rFonts w:eastAsia="Calibri"/>
          <w:lang w:eastAsia="en-US" w:bidi="ar-SA"/>
        </w:rPr>
        <w:t xml:space="preserve">to enable competent CILEX Practitioners holding litigation and advocacy rights to apply </w:t>
      </w:r>
      <w:r w:rsidR="000907AA" w:rsidRPr="00BD2925">
        <w:rPr>
          <w:rFonts w:eastAsia="Calibri"/>
          <w:lang w:eastAsia="en-US" w:bidi="ar-SA"/>
        </w:rPr>
        <w:t>for authorisation to conduct advocacy in all courts (Higher Rights of Audience)</w:t>
      </w:r>
      <w:r w:rsidRPr="00BD2925">
        <w:rPr>
          <w:rFonts w:eastAsia="Calibri"/>
          <w:lang w:eastAsia="en-US" w:bidi="ar-SA"/>
        </w:rPr>
        <w:t xml:space="preserve">. </w:t>
      </w:r>
    </w:p>
    <w:p w14:paraId="2A9E7B4E" w14:textId="77777777" w:rsidR="00BD2925" w:rsidRDefault="00BD2925" w:rsidP="00BD2925">
      <w:pPr>
        <w:pStyle w:val="ListParagraph"/>
        <w:widowControl/>
        <w:numPr>
          <w:ilvl w:val="0"/>
          <w:numId w:val="1"/>
        </w:numPr>
        <w:autoSpaceDE/>
        <w:autoSpaceDN/>
        <w:spacing w:after="160" w:line="259" w:lineRule="auto"/>
        <w:contextualSpacing/>
        <w:jc w:val="both"/>
      </w:pPr>
      <w:r>
        <w:t xml:space="preserve">CILEX and CRL have identified support for the initiative from a range of stakeholders. Additionally, there is the likelihood that suitably competent CILEX Practitioners with Higher Rights would enhance the diversity of the legal profession, and that career opportunities would arise for CILEX members </w:t>
      </w:r>
      <w:proofErr w:type="gramStart"/>
      <w:r>
        <w:t>as a result of</w:t>
      </w:r>
      <w:proofErr w:type="gramEnd"/>
      <w:r>
        <w:t xml:space="preserve"> this change. It is against this background that CRL is now proposing to extend its delegation to authorise CILEX Practitioners to enable them to exercise rights of audience in all courts relevant to their specialism.</w:t>
      </w:r>
    </w:p>
    <w:p w14:paraId="1CED2C24" w14:textId="77777777" w:rsidR="00BD2925" w:rsidRDefault="00BD2925" w:rsidP="00BD2925">
      <w:pPr>
        <w:pStyle w:val="ListParagraph"/>
        <w:widowControl/>
        <w:autoSpaceDE/>
        <w:autoSpaceDN/>
        <w:spacing w:after="160" w:line="259" w:lineRule="auto"/>
        <w:ind w:left="720"/>
        <w:contextualSpacing/>
        <w:jc w:val="both"/>
      </w:pPr>
    </w:p>
    <w:p w14:paraId="2EC371F0" w14:textId="76BD2610" w:rsidR="001215CC" w:rsidRPr="00BD2925" w:rsidRDefault="00BD2925" w:rsidP="008945DA">
      <w:pPr>
        <w:pStyle w:val="ListParagraph"/>
        <w:widowControl/>
        <w:numPr>
          <w:ilvl w:val="0"/>
          <w:numId w:val="1"/>
        </w:numPr>
        <w:autoSpaceDE/>
        <w:autoSpaceDN/>
        <w:spacing w:after="160" w:line="259" w:lineRule="auto"/>
        <w:contextualSpacing/>
        <w:jc w:val="both"/>
        <w:rPr>
          <w:rFonts w:eastAsia="Calibri"/>
          <w:lang w:eastAsia="en-US" w:bidi="ar-SA"/>
        </w:rPr>
      </w:pPr>
      <w:r>
        <w:t>Th</w:t>
      </w:r>
      <w:r w:rsidR="00FC508C">
        <w:t>is</w:t>
      </w:r>
      <w:r>
        <w:t xml:space="preserve"> consultation sets out how CRL proposes to assess applicants for authorisation in all courts (Higher Rights) and CRL is seeking views on these proposals.</w:t>
      </w:r>
    </w:p>
    <w:p w14:paraId="1AF6DCD5" w14:textId="7CF34152" w:rsidR="001215CC" w:rsidRPr="00960EF8" w:rsidRDefault="001215CC" w:rsidP="00C7542F">
      <w:pPr>
        <w:widowControl/>
        <w:numPr>
          <w:ilvl w:val="0"/>
          <w:numId w:val="1"/>
        </w:numPr>
        <w:autoSpaceDE/>
        <w:autoSpaceDN/>
        <w:spacing w:after="160" w:line="259" w:lineRule="auto"/>
        <w:contextualSpacing/>
        <w:jc w:val="both"/>
        <w:rPr>
          <w:rFonts w:eastAsia="Calibri"/>
          <w:lang w:eastAsia="en-US" w:bidi="ar-SA"/>
        </w:rPr>
      </w:pPr>
      <w:r w:rsidRPr="00960EF8">
        <w:rPr>
          <w:rFonts w:eastAsia="Calibri"/>
          <w:lang w:eastAsia="en-US" w:bidi="ar-SA"/>
        </w:rPr>
        <w:t xml:space="preserve">We welcome responses from our </w:t>
      </w:r>
      <w:r w:rsidR="006319AF" w:rsidRPr="00960EF8">
        <w:rPr>
          <w:rFonts w:eastAsia="Calibri"/>
          <w:lang w:eastAsia="en-US" w:bidi="ar-SA"/>
        </w:rPr>
        <w:t>regulated community</w:t>
      </w:r>
      <w:r w:rsidRPr="00960EF8">
        <w:rPr>
          <w:rFonts w:eastAsia="Calibri"/>
          <w:lang w:eastAsia="en-US" w:bidi="ar-SA"/>
        </w:rPr>
        <w:t xml:space="preserve"> and other stakeholders including </w:t>
      </w:r>
      <w:r w:rsidR="006319AF" w:rsidRPr="00960EF8">
        <w:rPr>
          <w:rFonts w:eastAsia="Calibri"/>
          <w:lang w:eastAsia="en-US" w:bidi="ar-SA"/>
        </w:rPr>
        <w:t>other approved regulators</w:t>
      </w:r>
      <w:r w:rsidRPr="00960EF8">
        <w:rPr>
          <w:rFonts w:eastAsia="Calibri"/>
          <w:lang w:eastAsia="en-US" w:bidi="ar-SA"/>
        </w:rPr>
        <w:t>, consumers of legal services</w:t>
      </w:r>
      <w:r w:rsidR="006319AF" w:rsidRPr="00960EF8">
        <w:rPr>
          <w:rFonts w:eastAsia="Calibri"/>
          <w:lang w:eastAsia="en-US" w:bidi="ar-SA"/>
        </w:rPr>
        <w:t xml:space="preserve"> </w:t>
      </w:r>
      <w:r w:rsidRPr="00960EF8">
        <w:rPr>
          <w:rFonts w:eastAsia="Calibri"/>
          <w:lang w:eastAsia="en-US" w:bidi="ar-SA"/>
        </w:rPr>
        <w:t xml:space="preserve">and </w:t>
      </w:r>
      <w:r w:rsidR="006319AF" w:rsidRPr="00960EF8">
        <w:rPr>
          <w:rFonts w:eastAsia="Calibri"/>
          <w:lang w:eastAsia="en-US" w:bidi="ar-SA"/>
        </w:rPr>
        <w:t xml:space="preserve">any </w:t>
      </w:r>
      <w:r w:rsidRPr="00960EF8">
        <w:rPr>
          <w:rFonts w:eastAsia="Calibri"/>
          <w:lang w:eastAsia="en-US" w:bidi="ar-SA"/>
        </w:rPr>
        <w:t>other interested parties.</w:t>
      </w:r>
    </w:p>
    <w:p w14:paraId="0B82864A" w14:textId="77777777" w:rsidR="001215CC" w:rsidRPr="00960EF8" w:rsidRDefault="001215CC" w:rsidP="00C7542F">
      <w:pPr>
        <w:widowControl/>
        <w:autoSpaceDE/>
        <w:autoSpaceDN/>
        <w:spacing w:after="160" w:line="259" w:lineRule="auto"/>
        <w:ind w:left="720"/>
        <w:contextualSpacing/>
        <w:jc w:val="both"/>
        <w:rPr>
          <w:rFonts w:eastAsia="Calibri"/>
          <w:lang w:eastAsia="en-US" w:bidi="ar-SA"/>
        </w:rPr>
      </w:pPr>
      <w:r w:rsidRPr="00960EF8">
        <w:rPr>
          <w:rFonts w:eastAsia="Calibri"/>
          <w:lang w:eastAsia="en-US" w:bidi="ar-SA"/>
        </w:rPr>
        <w:t xml:space="preserve"> </w:t>
      </w:r>
    </w:p>
    <w:p w14:paraId="5FF77E16" w14:textId="252430D8" w:rsidR="00BD2925" w:rsidRPr="00BD2925" w:rsidRDefault="001215CC" w:rsidP="00C42337">
      <w:pPr>
        <w:widowControl/>
        <w:numPr>
          <w:ilvl w:val="0"/>
          <w:numId w:val="1"/>
        </w:numPr>
        <w:autoSpaceDE/>
        <w:autoSpaceDN/>
        <w:spacing w:after="160" w:line="259" w:lineRule="auto"/>
        <w:contextualSpacing/>
        <w:jc w:val="both"/>
        <w:rPr>
          <w:rFonts w:eastAsia="Calibri"/>
          <w:b/>
          <w:lang w:eastAsia="en-US" w:bidi="ar-SA"/>
        </w:rPr>
      </w:pPr>
      <w:r w:rsidRPr="00BD2925">
        <w:rPr>
          <w:rFonts w:eastAsia="Calibri"/>
          <w:lang w:eastAsia="en-US" w:bidi="ar-SA"/>
        </w:rPr>
        <w:t xml:space="preserve">This consultation will run for </w:t>
      </w:r>
      <w:r w:rsidR="00A94722" w:rsidRPr="00BD2925">
        <w:rPr>
          <w:rFonts w:eastAsia="Calibri"/>
          <w:lang w:eastAsia="en-US" w:bidi="ar-SA"/>
        </w:rPr>
        <w:t>12</w:t>
      </w:r>
      <w:r w:rsidRPr="00BD2925">
        <w:rPr>
          <w:rFonts w:eastAsia="Calibri"/>
          <w:lang w:eastAsia="en-US" w:bidi="ar-SA"/>
        </w:rPr>
        <w:t xml:space="preserve"> weeks, from </w:t>
      </w:r>
      <w:r w:rsidR="00E121E4" w:rsidRPr="00BD2925">
        <w:rPr>
          <w:rFonts w:eastAsia="Calibri"/>
          <w:b/>
          <w:bCs/>
          <w:lang w:eastAsia="en-US" w:bidi="ar-SA"/>
        </w:rPr>
        <w:t>30 Septemb</w:t>
      </w:r>
      <w:r w:rsidR="004453A2" w:rsidRPr="00BD2925">
        <w:rPr>
          <w:rFonts w:eastAsia="Calibri"/>
          <w:b/>
          <w:bCs/>
          <w:lang w:eastAsia="en-US" w:bidi="ar-SA"/>
        </w:rPr>
        <w:t>er</w:t>
      </w:r>
      <w:r w:rsidR="003C3B03" w:rsidRPr="00BD2925">
        <w:rPr>
          <w:rFonts w:eastAsia="Calibri"/>
          <w:b/>
          <w:bCs/>
          <w:lang w:eastAsia="en-US" w:bidi="ar-SA"/>
        </w:rPr>
        <w:t xml:space="preserve"> 2022</w:t>
      </w:r>
      <w:r w:rsidRPr="00BD2925">
        <w:rPr>
          <w:rFonts w:eastAsia="Calibri"/>
          <w:lang w:eastAsia="en-US" w:bidi="ar-SA"/>
        </w:rPr>
        <w:t xml:space="preserve">, closing at </w:t>
      </w:r>
      <w:r w:rsidR="008340D6" w:rsidRPr="00BD2925">
        <w:rPr>
          <w:rFonts w:eastAsia="Calibri"/>
          <w:b/>
          <w:bCs/>
          <w:lang w:eastAsia="en-US" w:bidi="ar-SA"/>
        </w:rPr>
        <w:t>4</w:t>
      </w:r>
      <w:r w:rsidRPr="00BD2925">
        <w:rPr>
          <w:rFonts w:eastAsia="Calibri"/>
          <w:b/>
          <w:bCs/>
          <w:lang w:eastAsia="en-US" w:bidi="ar-SA"/>
        </w:rPr>
        <w:t xml:space="preserve">pm </w:t>
      </w:r>
      <w:bookmarkStart w:id="1" w:name="_Hlk516837034"/>
      <w:r w:rsidRPr="00BD2925">
        <w:rPr>
          <w:rFonts w:eastAsia="Calibri"/>
          <w:b/>
          <w:bCs/>
          <w:lang w:eastAsia="en-US" w:bidi="ar-SA"/>
        </w:rPr>
        <w:t xml:space="preserve">on </w:t>
      </w:r>
      <w:r w:rsidR="004453A2" w:rsidRPr="00BD2925">
        <w:rPr>
          <w:rFonts w:eastAsia="Calibri"/>
          <w:b/>
          <w:bCs/>
          <w:lang w:eastAsia="en-US" w:bidi="ar-SA"/>
        </w:rPr>
        <w:t>3</w:t>
      </w:r>
      <w:r w:rsidR="00D46484" w:rsidRPr="00BD2925">
        <w:rPr>
          <w:rFonts w:eastAsia="Calibri"/>
          <w:b/>
          <w:bCs/>
          <w:lang w:eastAsia="en-US" w:bidi="ar-SA"/>
        </w:rPr>
        <w:t xml:space="preserve"> January 2023</w:t>
      </w:r>
      <w:r w:rsidRPr="00BD2925">
        <w:rPr>
          <w:rFonts w:eastAsia="Calibri"/>
          <w:lang w:eastAsia="en-US" w:bidi="ar-SA"/>
        </w:rPr>
        <w:t xml:space="preserve">. </w:t>
      </w:r>
      <w:bookmarkEnd w:id="1"/>
    </w:p>
    <w:p w14:paraId="78728889" w14:textId="77777777" w:rsidR="00BD2925" w:rsidRPr="00BD2925" w:rsidRDefault="00BD2925" w:rsidP="00BD2925">
      <w:pPr>
        <w:widowControl/>
        <w:autoSpaceDE/>
        <w:autoSpaceDN/>
        <w:spacing w:after="160" w:line="259" w:lineRule="auto"/>
        <w:contextualSpacing/>
        <w:jc w:val="both"/>
        <w:rPr>
          <w:rFonts w:eastAsia="Calibri"/>
          <w:b/>
          <w:lang w:eastAsia="en-US" w:bidi="ar-SA"/>
        </w:rPr>
      </w:pPr>
    </w:p>
    <w:p w14:paraId="6952492E" w14:textId="497671C5" w:rsidR="005E66FF" w:rsidRPr="00960EF8" w:rsidRDefault="005E66FF" w:rsidP="00C7542F">
      <w:pPr>
        <w:widowControl/>
        <w:autoSpaceDE/>
        <w:autoSpaceDN/>
        <w:spacing w:after="160" w:line="259" w:lineRule="auto"/>
        <w:jc w:val="both"/>
        <w:rPr>
          <w:rFonts w:eastAsia="Calibri"/>
          <w:b/>
          <w:lang w:eastAsia="en-US" w:bidi="ar-SA"/>
        </w:rPr>
      </w:pPr>
      <w:r w:rsidRPr="00960EF8">
        <w:rPr>
          <w:rFonts w:eastAsia="Calibri"/>
          <w:b/>
          <w:lang w:eastAsia="en-US" w:bidi="ar-SA"/>
        </w:rPr>
        <w:t xml:space="preserve">Background </w:t>
      </w:r>
    </w:p>
    <w:p w14:paraId="3DDCEAC5" w14:textId="77777777" w:rsidR="00EC4719" w:rsidRDefault="00D86230" w:rsidP="00C7542F">
      <w:pPr>
        <w:pStyle w:val="ListParagraph"/>
        <w:widowControl/>
        <w:numPr>
          <w:ilvl w:val="0"/>
          <w:numId w:val="1"/>
        </w:numPr>
        <w:autoSpaceDE/>
        <w:autoSpaceDN/>
        <w:spacing w:after="160" w:line="259" w:lineRule="auto"/>
        <w:contextualSpacing/>
        <w:jc w:val="both"/>
      </w:pPr>
      <w:r>
        <w:t>CILEX Practitioners</w:t>
      </w:r>
      <w:r w:rsidR="005064EA">
        <w:t xml:space="preserve"> are </w:t>
      </w:r>
      <w:r w:rsidR="00C740C8">
        <w:t xml:space="preserve">specialist </w:t>
      </w:r>
      <w:r w:rsidR="005064EA">
        <w:t>lawyers</w:t>
      </w:r>
      <w:r w:rsidR="00C740C8">
        <w:t>,</w:t>
      </w:r>
      <w:r w:rsidR="005064EA">
        <w:t xml:space="preserve"> regulated by CRL</w:t>
      </w:r>
      <w:r w:rsidR="00C740C8">
        <w:t>,</w:t>
      </w:r>
      <w:r w:rsidR="005064EA">
        <w:t xml:space="preserve"> who are able to practise </w:t>
      </w:r>
      <w:r w:rsidR="00EC4719">
        <w:t xml:space="preserve">in a </w:t>
      </w:r>
      <w:r w:rsidR="005064EA">
        <w:t xml:space="preserve">reserved </w:t>
      </w:r>
      <w:r w:rsidR="00EC4719">
        <w:t>or</w:t>
      </w:r>
      <w:r w:rsidR="005064EA">
        <w:t xml:space="preserve"> regulated area of </w:t>
      </w:r>
      <w:r w:rsidR="005416B9">
        <w:t xml:space="preserve">practice without the requirement to be supervised by an </w:t>
      </w:r>
      <w:hyperlink r:id="rId11" w:history="1">
        <w:r w:rsidR="005416B9" w:rsidRPr="00C740C8">
          <w:rPr>
            <w:rStyle w:val="Hyperlink"/>
          </w:rPr>
          <w:t>authorised person</w:t>
        </w:r>
      </w:hyperlink>
      <w:r w:rsidR="005416B9">
        <w:t xml:space="preserve"> under the Legal Services Act 2007</w:t>
      </w:r>
      <w:r w:rsidR="001C72D5">
        <w:t xml:space="preserve">. </w:t>
      </w:r>
    </w:p>
    <w:p w14:paraId="73256DD5" w14:textId="4F01899D" w:rsidR="00EC4719" w:rsidRDefault="00EC4719" w:rsidP="00EC4719">
      <w:pPr>
        <w:pStyle w:val="ListParagraph"/>
        <w:widowControl/>
        <w:autoSpaceDE/>
        <w:autoSpaceDN/>
        <w:spacing w:after="160" w:line="259" w:lineRule="auto"/>
        <w:ind w:left="720"/>
        <w:contextualSpacing/>
        <w:jc w:val="both"/>
      </w:pPr>
    </w:p>
    <w:p w14:paraId="52746146" w14:textId="0A5EF4A8" w:rsidR="00D1452E" w:rsidRDefault="005E733E" w:rsidP="00C7542F">
      <w:pPr>
        <w:pStyle w:val="ListParagraph"/>
        <w:widowControl/>
        <w:numPr>
          <w:ilvl w:val="0"/>
          <w:numId w:val="1"/>
        </w:numPr>
        <w:autoSpaceDE/>
        <w:autoSpaceDN/>
        <w:spacing w:after="160" w:line="259" w:lineRule="auto"/>
        <w:contextualSpacing/>
        <w:jc w:val="both"/>
      </w:pPr>
      <w:r>
        <w:t>CILEX Practitioners with litigation and advocacy</w:t>
      </w:r>
      <w:r w:rsidR="00436F7E">
        <w:t xml:space="preserve"> (rights of audience)</w:t>
      </w:r>
      <w:r>
        <w:t xml:space="preserve"> rights </w:t>
      </w:r>
      <w:r w:rsidR="009F6649">
        <w:t>can</w:t>
      </w:r>
      <w:r>
        <w:t xml:space="preserve"> undertake litigation and advocacy</w:t>
      </w:r>
      <w:r w:rsidR="009F2617">
        <w:t xml:space="preserve"> in the lower courts</w:t>
      </w:r>
      <w:r w:rsidR="00A94722">
        <w:rPr>
          <w:rStyle w:val="FootnoteReference"/>
        </w:rPr>
        <w:footnoteReference w:id="2"/>
      </w:r>
      <w:r>
        <w:t xml:space="preserve"> in one of the following areas:</w:t>
      </w:r>
    </w:p>
    <w:p w14:paraId="45F0DF6E" w14:textId="77777777" w:rsidR="005E733E" w:rsidRDefault="005E733E" w:rsidP="005E733E">
      <w:pPr>
        <w:pStyle w:val="ListParagraph"/>
      </w:pPr>
    </w:p>
    <w:p w14:paraId="6E120FB1" w14:textId="526B8365" w:rsidR="005E733E" w:rsidRDefault="005E733E" w:rsidP="005E733E">
      <w:pPr>
        <w:pStyle w:val="ListParagraph"/>
        <w:widowControl/>
        <w:numPr>
          <w:ilvl w:val="1"/>
          <w:numId w:val="1"/>
        </w:numPr>
        <w:autoSpaceDE/>
        <w:autoSpaceDN/>
        <w:spacing w:after="160" w:line="259" w:lineRule="auto"/>
        <w:contextualSpacing/>
        <w:jc w:val="both"/>
      </w:pPr>
      <w:r>
        <w:t>Civil litigation</w:t>
      </w:r>
    </w:p>
    <w:p w14:paraId="019C8EAA" w14:textId="1910E3A8" w:rsidR="005E733E" w:rsidRDefault="005E733E" w:rsidP="005E733E">
      <w:pPr>
        <w:pStyle w:val="ListParagraph"/>
        <w:widowControl/>
        <w:numPr>
          <w:ilvl w:val="1"/>
          <w:numId w:val="1"/>
        </w:numPr>
        <w:autoSpaceDE/>
        <w:autoSpaceDN/>
        <w:spacing w:after="160" w:line="259" w:lineRule="auto"/>
        <w:contextualSpacing/>
        <w:jc w:val="both"/>
      </w:pPr>
      <w:r>
        <w:t>Criminal litigation</w:t>
      </w:r>
    </w:p>
    <w:p w14:paraId="0836506F" w14:textId="3E215FA5" w:rsidR="00B50753" w:rsidRDefault="005E733E" w:rsidP="005C5080">
      <w:pPr>
        <w:pStyle w:val="ListParagraph"/>
        <w:widowControl/>
        <w:numPr>
          <w:ilvl w:val="1"/>
          <w:numId w:val="1"/>
        </w:numPr>
        <w:autoSpaceDE/>
        <w:autoSpaceDN/>
        <w:spacing w:after="160" w:line="259" w:lineRule="auto"/>
        <w:contextualSpacing/>
        <w:jc w:val="both"/>
      </w:pPr>
      <w:r>
        <w:t>Family litigation</w:t>
      </w:r>
    </w:p>
    <w:p w14:paraId="695D94C2" w14:textId="3A6477DC" w:rsidR="000C411D" w:rsidRDefault="005C5080" w:rsidP="007F0FD6">
      <w:pPr>
        <w:widowControl/>
        <w:autoSpaceDE/>
        <w:autoSpaceDN/>
        <w:spacing w:after="160" w:line="259" w:lineRule="auto"/>
        <w:contextualSpacing/>
        <w:jc w:val="both"/>
        <w:rPr>
          <w:rFonts w:eastAsia="Calibri"/>
          <w:b/>
          <w:lang w:eastAsia="en-US" w:bidi="ar-SA"/>
        </w:rPr>
      </w:pPr>
      <w:r>
        <w:rPr>
          <w:rFonts w:eastAsia="Calibri"/>
          <w:b/>
          <w:lang w:eastAsia="en-US" w:bidi="ar-SA"/>
        </w:rPr>
        <w:lastRenderedPageBreak/>
        <w:t>W</w:t>
      </w:r>
      <w:r w:rsidR="00AE5F1B" w:rsidRPr="00960EF8">
        <w:rPr>
          <w:rFonts w:eastAsia="Calibri"/>
          <w:b/>
          <w:lang w:eastAsia="en-US" w:bidi="ar-SA"/>
        </w:rPr>
        <w:t xml:space="preserve">hy </w:t>
      </w:r>
      <w:r w:rsidR="00AE5F1B">
        <w:rPr>
          <w:rFonts w:eastAsia="Calibri"/>
          <w:b/>
          <w:lang w:eastAsia="en-US" w:bidi="ar-SA"/>
        </w:rPr>
        <w:t>is CILEx Regulation</w:t>
      </w:r>
      <w:r w:rsidR="00AE5F1B" w:rsidRPr="00960EF8">
        <w:rPr>
          <w:rFonts w:eastAsia="Calibri"/>
          <w:b/>
          <w:lang w:eastAsia="en-US" w:bidi="ar-SA"/>
        </w:rPr>
        <w:t xml:space="preserve"> proposing to </w:t>
      </w:r>
      <w:r w:rsidR="0068615B">
        <w:rPr>
          <w:rFonts w:eastAsia="Calibri"/>
          <w:b/>
          <w:lang w:eastAsia="en-US" w:bidi="ar-SA"/>
        </w:rPr>
        <w:t xml:space="preserve">seek the right to authorise </w:t>
      </w:r>
      <w:r w:rsidR="0008552C">
        <w:rPr>
          <w:rFonts w:eastAsia="Calibri"/>
          <w:b/>
          <w:lang w:eastAsia="en-US" w:bidi="ar-SA"/>
        </w:rPr>
        <w:t xml:space="preserve">competent </w:t>
      </w:r>
      <w:r w:rsidR="0068615B">
        <w:rPr>
          <w:rFonts w:eastAsia="Calibri"/>
          <w:b/>
          <w:lang w:eastAsia="en-US" w:bidi="ar-SA"/>
        </w:rPr>
        <w:t>CILEX Practitioners with litigation and advocacy rights</w:t>
      </w:r>
      <w:r w:rsidR="003D3EC2">
        <w:rPr>
          <w:rFonts w:eastAsia="Calibri"/>
          <w:b/>
          <w:lang w:eastAsia="en-US" w:bidi="ar-SA"/>
        </w:rPr>
        <w:t xml:space="preserve"> in all courts in England and Wales</w:t>
      </w:r>
      <w:r w:rsidR="00AE5F1B" w:rsidRPr="00960EF8">
        <w:rPr>
          <w:rFonts w:eastAsia="Calibri"/>
          <w:b/>
          <w:lang w:eastAsia="en-US" w:bidi="ar-SA"/>
        </w:rPr>
        <w:t>?</w:t>
      </w:r>
    </w:p>
    <w:p w14:paraId="5396DBB5" w14:textId="77777777" w:rsidR="00CC023F" w:rsidRDefault="00CC023F" w:rsidP="00CC023F">
      <w:pPr>
        <w:widowControl/>
        <w:autoSpaceDE/>
        <w:autoSpaceDN/>
        <w:spacing w:after="160" w:line="259" w:lineRule="auto"/>
        <w:contextualSpacing/>
        <w:jc w:val="both"/>
        <w:rPr>
          <w:b/>
          <w:bCs/>
          <w:i/>
          <w:iCs/>
        </w:rPr>
      </w:pPr>
    </w:p>
    <w:p w14:paraId="14D68EEC" w14:textId="245EC993" w:rsidR="00CC023F" w:rsidRPr="00741DB6" w:rsidRDefault="00741DB6" w:rsidP="00741DB6">
      <w:pPr>
        <w:widowControl/>
        <w:autoSpaceDE/>
        <w:autoSpaceDN/>
        <w:spacing w:after="160" w:line="259" w:lineRule="auto"/>
        <w:contextualSpacing/>
        <w:jc w:val="both"/>
        <w:rPr>
          <w:b/>
          <w:bCs/>
          <w:i/>
          <w:iCs/>
        </w:rPr>
      </w:pPr>
      <w:r w:rsidRPr="00741DB6">
        <w:rPr>
          <w:b/>
          <w:bCs/>
          <w:i/>
          <w:iCs/>
        </w:rPr>
        <w:t>a.</w:t>
      </w:r>
      <w:r>
        <w:rPr>
          <w:b/>
          <w:bCs/>
          <w:i/>
          <w:iCs/>
        </w:rPr>
        <w:t xml:space="preserve"> </w:t>
      </w:r>
      <w:r w:rsidR="00CC023F" w:rsidRPr="00741DB6">
        <w:rPr>
          <w:b/>
          <w:bCs/>
          <w:i/>
          <w:iCs/>
        </w:rPr>
        <w:t>Enhancing diversity and fairness in the legal sector/ Equality of opportunity</w:t>
      </w:r>
    </w:p>
    <w:p w14:paraId="0635A617" w14:textId="77777777" w:rsidR="00CC023F" w:rsidRDefault="00CC023F" w:rsidP="00CC023F">
      <w:pPr>
        <w:widowControl/>
        <w:autoSpaceDE/>
        <w:autoSpaceDN/>
        <w:spacing w:after="160" w:line="259" w:lineRule="auto"/>
        <w:contextualSpacing/>
        <w:jc w:val="both"/>
        <w:rPr>
          <w:b/>
          <w:bCs/>
          <w:i/>
          <w:iCs/>
        </w:rPr>
      </w:pPr>
    </w:p>
    <w:p w14:paraId="5331763A" w14:textId="0E91054A" w:rsidR="00CC023F" w:rsidRDefault="009F6649" w:rsidP="00142FF0">
      <w:pPr>
        <w:pStyle w:val="ListParagraph"/>
        <w:widowControl/>
        <w:numPr>
          <w:ilvl w:val="0"/>
          <w:numId w:val="1"/>
        </w:numPr>
        <w:autoSpaceDE/>
        <w:autoSpaceDN/>
        <w:spacing w:after="160" w:line="259" w:lineRule="auto"/>
        <w:contextualSpacing/>
        <w:jc w:val="both"/>
      </w:pPr>
      <w:r>
        <w:t>The Chartered Institute of Legal Executives (</w:t>
      </w:r>
      <w:r w:rsidR="00142FF0">
        <w:t>CILEX</w:t>
      </w:r>
      <w:r>
        <w:t>)</w:t>
      </w:r>
      <w:r w:rsidR="00142FF0">
        <w:t xml:space="preserve"> has</w:t>
      </w:r>
      <w:r w:rsidR="001E1594">
        <w:t>,</w:t>
      </w:r>
      <w:r w:rsidR="00142FF0">
        <w:t xml:space="preserve"> for a number of years, been </w:t>
      </w:r>
      <w:r w:rsidR="00E12230">
        <w:t xml:space="preserve">lobbying for a career path for </w:t>
      </w:r>
      <w:r>
        <w:t>its</w:t>
      </w:r>
      <w:r w:rsidR="00E12230">
        <w:t xml:space="preserve"> members working at the Crown Prosecution </w:t>
      </w:r>
      <w:r w:rsidR="00CA461D">
        <w:t>S</w:t>
      </w:r>
      <w:r w:rsidR="00E12230">
        <w:t xml:space="preserve">ervice to </w:t>
      </w:r>
      <w:r w:rsidR="00CA461D">
        <w:t xml:space="preserve">be able to </w:t>
      </w:r>
      <w:r w:rsidR="00812AF3">
        <w:t>b</w:t>
      </w:r>
      <w:r w:rsidR="00CC023F" w:rsidRPr="00142FF0">
        <w:t>ecom</w:t>
      </w:r>
      <w:r w:rsidR="00812AF3">
        <w:t>e</w:t>
      </w:r>
      <w:r w:rsidR="00CC023F" w:rsidRPr="00142FF0">
        <w:t xml:space="preserve"> Crown Prosecutors </w:t>
      </w:r>
      <w:r w:rsidR="00812AF3">
        <w:t>without the requirement to cross-qualify as a solicitor.</w:t>
      </w:r>
    </w:p>
    <w:p w14:paraId="629F39D3" w14:textId="20181A8A" w:rsidR="00812AF3" w:rsidRDefault="00812AF3" w:rsidP="00812AF3">
      <w:pPr>
        <w:pStyle w:val="ListParagraph"/>
        <w:widowControl/>
        <w:autoSpaceDE/>
        <w:autoSpaceDN/>
        <w:spacing w:after="160" w:line="259" w:lineRule="auto"/>
        <w:ind w:left="720"/>
        <w:contextualSpacing/>
        <w:jc w:val="both"/>
      </w:pPr>
    </w:p>
    <w:p w14:paraId="1FC08EF8" w14:textId="354ED559" w:rsidR="00CA461D" w:rsidRDefault="00812AF3" w:rsidP="00142FF0">
      <w:pPr>
        <w:pStyle w:val="ListParagraph"/>
        <w:widowControl/>
        <w:numPr>
          <w:ilvl w:val="0"/>
          <w:numId w:val="1"/>
        </w:numPr>
        <w:autoSpaceDE/>
        <w:autoSpaceDN/>
        <w:spacing w:after="160" w:line="259" w:lineRule="auto"/>
        <w:contextualSpacing/>
        <w:jc w:val="both"/>
      </w:pPr>
      <w:r>
        <w:t xml:space="preserve">In </w:t>
      </w:r>
      <w:r w:rsidR="00A94722">
        <w:t>CILEX’s</w:t>
      </w:r>
      <w:r>
        <w:t xml:space="preserve"> discussion</w:t>
      </w:r>
      <w:r w:rsidR="00A94722">
        <w:t>s</w:t>
      </w:r>
      <w:r>
        <w:t xml:space="preserve"> with the Ministry of Justice</w:t>
      </w:r>
      <w:r w:rsidR="003964DB">
        <w:t xml:space="preserve"> (</w:t>
      </w:r>
      <w:proofErr w:type="spellStart"/>
      <w:r w:rsidR="003964DB">
        <w:t>MoJ</w:t>
      </w:r>
      <w:proofErr w:type="spellEnd"/>
      <w:r w:rsidR="003964DB">
        <w:t>)</w:t>
      </w:r>
      <w:r>
        <w:t xml:space="preserve">, </w:t>
      </w:r>
      <w:r w:rsidR="0026780E">
        <w:t xml:space="preserve">in addition to re-consideration of the option for CILEX members to become Crown Prosecutors, the possibility for CILEX members to be </w:t>
      </w:r>
      <w:r w:rsidR="00A94722">
        <w:t xml:space="preserve">able to be </w:t>
      </w:r>
      <w:r w:rsidR="0026780E">
        <w:t xml:space="preserve">authorised </w:t>
      </w:r>
      <w:r w:rsidR="005C62C8">
        <w:t xml:space="preserve">to undertake advocacy in all courts </w:t>
      </w:r>
      <w:r w:rsidR="003964DB">
        <w:t xml:space="preserve">(Higher Rights) </w:t>
      </w:r>
      <w:r w:rsidR="005C62C8">
        <w:t>was raised</w:t>
      </w:r>
      <w:r w:rsidR="00A94722">
        <w:t>.</w:t>
      </w:r>
      <w:r w:rsidR="005C62C8">
        <w:t xml:space="preserve"> </w:t>
      </w:r>
      <w:r w:rsidR="00A94722">
        <w:t>T</w:t>
      </w:r>
      <w:r w:rsidR="005C62C8">
        <w:t>his</w:t>
      </w:r>
      <w:r w:rsidR="00CA461D">
        <w:t xml:space="preserve"> was because it</w:t>
      </w:r>
      <w:r w:rsidR="005C62C8">
        <w:t xml:space="preserve"> would </w:t>
      </w:r>
      <w:r w:rsidR="00126737">
        <w:t>enhance</w:t>
      </w:r>
      <w:r w:rsidR="00CA461D">
        <w:t xml:space="preserve"> further</w:t>
      </w:r>
      <w:r w:rsidR="005C62C8">
        <w:t xml:space="preserve"> the options open to CILEX members for career progression.</w:t>
      </w:r>
      <w:r w:rsidR="00345090">
        <w:t xml:space="preserve"> This possibility was </w:t>
      </w:r>
      <w:r w:rsidR="00CA461D">
        <w:t xml:space="preserve">then </w:t>
      </w:r>
      <w:r w:rsidR="00345090">
        <w:t>raised</w:t>
      </w:r>
      <w:r w:rsidR="009F6649">
        <w:t>,</w:t>
      </w:r>
      <w:r w:rsidR="00345090">
        <w:t xml:space="preserve"> </w:t>
      </w:r>
      <w:r w:rsidR="00CA461D">
        <w:t xml:space="preserve">by the </w:t>
      </w:r>
      <w:proofErr w:type="spellStart"/>
      <w:r w:rsidR="00CA461D">
        <w:t>MoJ</w:t>
      </w:r>
      <w:proofErr w:type="spellEnd"/>
      <w:r w:rsidR="009F6649">
        <w:t>,</w:t>
      </w:r>
      <w:r w:rsidR="00CA461D">
        <w:t xml:space="preserve"> with CRL, as the independent regulator of CILEX members.</w:t>
      </w:r>
      <w:r w:rsidR="00345090">
        <w:t xml:space="preserve"> </w:t>
      </w:r>
    </w:p>
    <w:p w14:paraId="393978F7" w14:textId="77777777" w:rsidR="00CA461D" w:rsidRDefault="00CA461D" w:rsidP="00CA461D">
      <w:pPr>
        <w:pStyle w:val="ListParagraph"/>
      </w:pPr>
    </w:p>
    <w:p w14:paraId="1D747DFF" w14:textId="11205098" w:rsidR="00812AF3" w:rsidRDefault="00CA461D" w:rsidP="00142FF0">
      <w:pPr>
        <w:pStyle w:val="ListParagraph"/>
        <w:widowControl/>
        <w:numPr>
          <w:ilvl w:val="0"/>
          <w:numId w:val="1"/>
        </w:numPr>
        <w:autoSpaceDE/>
        <w:autoSpaceDN/>
        <w:spacing w:after="160" w:line="259" w:lineRule="auto"/>
        <w:contextualSpacing/>
        <w:jc w:val="both"/>
      </w:pPr>
      <w:r>
        <w:t>F</w:t>
      </w:r>
      <w:r w:rsidR="00A702EB">
        <w:t>ollowing a survey of chartered legal executives and CILEX Practitioners</w:t>
      </w:r>
      <w:r w:rsidR="008013F8">
        <w:t xml:space="preserve"> (see below)</w:t>
      </w:r>
      <w:r w:rsidR="00A702EB">
        <w:t>, CRL agreed to take the proposal forward.</w:t>
      </w:r>
      <w:r>
        <w:t xml:space="preserve"> </w:t>
      </w:r>
    </w:p>
    <w:p w14:paraId="07771A44" w14:textId="77777777" w:rsidR="008013F8" w:rsidRDefault="008013F8" w:rsidP="008013F8">
      <w:pPr>
        <w:pStyle w:val="ListParagraph"/>
      </w:pPr>
    </w:p>
    <w:p w14:paraId="072AAA69" w14:textId="0AD0EACD" w:rsidR="008013F8" w:rsidRPr="002D60C1" w:rsidRDefault="00741DB6" w:rsidP="008013F8">
      <w:pPr>
        <w:widowControl/>
        <w:autoSpaceDE/>
        <w:autoSpaceDN/>
        <w:spacing w:after="160" w:line="259" w:lineRule="auto"/>
        <w:contextualSpacing/>
        <w:jc w:val="both"/>
        <w:rPr>
          <w:rFonts w:eastAsia="Calibri"/>
          <w:b/>
          <w:i/>
          <w:iCs/>
          <w:lang w:eastAsia="en-US" w:bidi="ar-SA"/>
        </w:rPr>
      </w:pPr>
      <w:r>
        <w:rPr>
          <w:rFonts w:eastAsia="Calibri"/>
          <w:b/>
          <w:i/>
          <w:iCs/>
          <w:lang w:eastAsia="en-US" w:bidi="ar-SA"/>
        </w:rPr>
        <w:t xml:space="preserve">b. </w:t>
      </w:r>
      <w:r w:rsidR="008013F8">
        <w:rPr>
          <w:rFonts w:eastAsia="Calibri"/>
          <w:b/>
          <w:i/>
          <w:iCs/>
          <w:lang w:eastAsia="en-US" w:bidi="ar-SA"/>
        </w:rPr>
        <w:t>Survey of CILEX authorised persons</w:t>
      </w:r>
    </w:p>
    <w:p w14:paraId="51BF4EAD" w14:textId="0CEDAC0E" w:rsidR="008013F8" w:rsidRPr="00142FF0" w:rsidRDefault="008013F8" w:rsidP="007216E4">
      <w:pPr>
        <w:pStyle w:val="ListParagraph"/>
        <w:widowControl/>
        <w:numPr>
          <w:ilvl w:val="0"/>
          <w:numId w:val="1"/>
        </w:numPr>
        <w:autoSpaceDE/>
        <w:autoSpaceDN/>
        <w:spacing w:after="160" w:line="259" w:lineRule="auto"/>
        <w:contextualSpacing/>
        <w:jc w:val="both"/>
      </w:pPr>
      <w:r>
        <w:t xml:space="preserve">CRL sought the views of CILEX Lawyers (chartered legal executives, CILEX Advocates and CILEX Practitioners) to determine interest and support for the proposal to seek </w:t>
      </w:r>
      <w:r w:rsidR="002C66B8">
        <w:t xml:space="preserve">additional powers to award Higher Rights of Audience. </w:t>
      </w:r>
      <w:r>
        <w:t xml:space="preserve">The response was overwhelmingly in favour of CRL </w:t>
      </w:r>
      <w:r w:rsidR="00E16B46">
        <w:t>making an application</w:t>
      </w:r>
      <w:r>
        <w:t xml:space="preserve"> to the Legal Services Board to enable </w:t>
      </w:r>
      <w:r w:rsidR="00E16B46">
        <w:t>CRL</w:t>
      </w:r>
      <w:r>
        <w:t xml:space="preserve"> to authorise suitably competent CILEX Practitioners for Higher Rights of Audience</w:t>
      </w:r>
      <w:r w:rsidR="007216E4">
        <w:t xml:space="preserve"> (see </w:t>
      </w:r>
      <w:r w:rsidR="007216E4" w:rsidRPr="008944C8">
        <w:rPr>
          <w:b/>
          <w:bCs/>
        </w:rPr>
        <w:t>Appendix</w:t>
      </w:r>
      <w:r w:rsidR="008944C8">
        <w:t xml:space="preserve"> </w:t>
      </w:r>
      <w:r w:rsidR="008944C8" w:rsidRPr="008944C8">
        <w:rPr>
          <w:b/>
          <w:bCs/>
        </w:rPr>
        <w:t>1</w:t>
      </w:r>
      <w:r w:rsidR="007216E4">
        <w:t xml:space="preserve"> for data)</w:t>
      </w:r>
      <w:r>
        <w:t>.</w:t>
      </w:r>
    </w:p>
    <w:p w14:paraId="6639863C" w14:textId="659BE149" w:rsidR="00DB5F24" w:rsidRDefault="00741DB6" w:rsidP="00DB5F24">
      <w:pPr>
        <w:widowControl/>
        <w:autoSpaceDE/>
        <w:autoSpaceDN/>
        <w:spacing w:after="160" w:line="259" w:lineRule="auto"/>
        <w:contextualSpacing/>
        <w:jc w:val="both"/>
      </w:pPr>
      <w:r>
        <w:rPr>
          <w:b/>
          <w:bCs/>
          <w:i/>
          <w:iCs/>
        </w:rPr>
        <w:t xml:space="preserve">c. </w:t>
      </w:r>
      <w:r w:rsidR="002D60C1">
        <w:rPr>
          <w:b/>
          <w:bCs/>
          <w:i/>
          <w:iCs/>
        </w:rPr>
        <w:t>Improving diversity in the legal profession and the judiciary</w:t>
      </w:r>
    </w:p>
    <w:p w14:paraId="7C0894D0" w14:textId="06839E4B" w:rsidR="002D60C1" w:rsidRDefault="00DB5F24" w:rsidP="008013F8">
      <w:pPr>
        <w:pStyle w:val="ListParagraph"/>
        <w:widowControl/>
        <w:numPr>
          <w:ilvl w:val="0"/>
          <w:numId w:val="1"/>
        </w:numPr>
        <w:autoSpaceDE/>
        <w:autoSpaceDN/>
        <w:spacing w:after="160" w:line="259" w:lineRule="auto"/>
        <w:contextualSpacing/>
        <w:jc w:val="both"/>
      </w:pPr>
      <w:r>
        <w:t xml:space="preserve">In addition to improving the career progression for suitably qualified CILEX members, </w:t>
      </w:r>
      <w:r w:rsidR="00EE6FCD">
        <w:t xml:space="preserve">it has also been noted that the ability to authorise </w:t>
      </w:r>
      <w:r w:rsidR="002D60C1" w:rsidRPr="00A702EB">
        <w:t xml:space="preserve">CILEX Practitioners </w:t>
      </w:r>
      <w:r w:rsidR="00EE6FCD">
        <w:t xml:space="preserve">to undertake advocacy in all courts would (owing to the diversity within the CILEX membership) have </w:t>
      </w:r>
      <w:r w:rsidR="00D1259C">
        <w:t>the potential, in the longer-term, to enhance the diversity of the judiciary.</w:t>
      </w:r>
      <w:r w:rsidR="002D60C1" w:rsidRPr="00A702EB">
        <w:t xml:space="preserve"> </w:t>
      </w:r>
    </w:p>
    <w:p w14:paraId="0F18D746" w14:textId="4D4B9222" w:rsidR="007F3001" w:rsidRDefault="00131DD0" w:rsidP="00C7542F">
      <w:pPr>
        <w:widowControl/>
        <w:autoSpaceDE/>
        <w:autoSpaceDN/>
        <w:spacing w:after="160" w:line="259" w:lineRule="auto"/>
        <w:contextualSpacing/>
        <w:jc w:val="both"/>
        <w:rPr>
          <w:b/>
          <w:bCs/>
        </w:rPr>
      </w:pPr>
      <w:r>
        <w:rPr>
          <w:b/>
          <w:bCs/>
        </w:rPr>
        <w:t xml:space="preserve">How </w:t>
      </w:r>
      <w:r w:rsidR="00A94722">
        <w:rPr>
          <w:b/>
          <w:bCs/>
        </w:rPr>
        <w:t>CILEx Regulation</w:t>
      </w:r>
      <w:r>
        <w:rPr>
          <w:b/>
          <w:bCs/>
        </w:rPr>
        <w:t xml:space="preserve"> propose</w:t>
      </w:r>
      <w:r w:rsidR="00A94722">
        <w:rPr>
          <w:b/>
          <w:bCs/>
        </w:rPr>
        <w:t>s</w:t>
      </w:r>
      <w:r>
        <w:rPr>
          <w:b/>
          <w:bCs/>
        </w:rPr>
        <w:t xml:space="preserve"> to introduce the changes</w:t>
      </w:r>
    </w:p>
    <w:p w14:paraId="6A260B3B" w14:textId="5089D031" w:rsidR="00280848" w:rsidRDefault="00280848" w:rsidP="00C7542F">
      <w:pPr>
        <w:widowControl/>
        <w:autoSpaceDE/>
        <w:autoSpaceDN/>
        <w:spacing w:after="160" w:line="259" w:lineRule="auto"/>
        <w:contextualSpacing/>
        <w:jc w:val="both"/>
        <w:rPr>
          <w:b/>
          <w:bCs/>
        </w:rPr>
      </w:pPr>
    </w:p>
    <w:p w14:paraId="5204C802" w14:textId="0D276AE8" w:rsidR="00280848" w:rsidRDefault="00280848" w:rsidP="00C7542F">
      <w:pPr>
        <w:widowControl/>
        <w:autoSpaceDE/>
        <w:autoSpaceDN/>
        <w:spacing w:after="160" w:line="259" w:lineRule="auto"/>
        <w:contextualSpacing/>
        <w:jc w:val="both"/>
        <w:rPr>
          <w:b/>
          <w:bCs/>
          <w:i/>
          <w:iCs/>
        </w:rPr>
      </w:pPr>
      <w:r w:rsidRPr="0069301A">
        <w:rPr>
          <w:b/>
          <w:bCs/>
          <w:i/>
          <w:iCs/>
        </w:rPr>
        <w:t xml:space="preserve">Proposed Training and Assessment for </w:t>
      </w:r>
      <w:r w:rsidR="00E772ED" w:rsidRPr="0069301A">
        <w:rPr>
          <w:b/>
          <w:bCs/>
          <w:i/>
          <w:iCs/>
        </w:rPr>
        <w:t>those seeking Higher Rights of Audience</w:t>
      </w:r>
    </w:p>
    <w:p w14:paraId="3C3CF590" w14:textId="09A56065" w:rsidR="00834E9D" w:rsidRDefault="00834E9D" w:rsidP="00C7542F">
      <w:pPr>
        <w:widowControl/>
        <w:autoSpaceDE/>
        <w:autoSpaceDN/>
        <w:spacing w:after="160" w:line="259" w:lineRule="auto"/>
        <w:contextualSpacing/>
        <w:jc w:val="both"/>
        <w:rPr>
          <w:b/>
          <w:bCs/>
          <w:i/>
          <w:iCs/>
        </w:rPr>
      </w:pPr>
    </w:p>
    <w:p w14:paraId="281368DE" w14:textId="1A61D1FC" w:rsidR="00834E9D" w:rsidRPr="00205F63" w:rsidRDefault="00205F63" w:rsidP="00205F63">
      <w:pPr>
        <w:widowControl/>
        <w:autoSpaceDE/>
        <w:autoSpaceDN/>
        <w:spacing w:after="160" w:line="259" w:lineRule="auto"/>
        <w:contextualSpacing/>
        <w:jc w:val="both"/>
        <w:rPr>
          <w:b/>
          <w:bCs/>
          <w:i/>
          <w:iCs/>
        </w:rPr>
      </w:pPr>
      <w:r w:rsidRPr="00205F63">
        <w:rPr>
          <w:b/>
          <w:bCs/>
          <w:i/>
          <w:iCs/>
        </w:rPr>
        <w:t>a. Existing</w:t>
      </w:r>
      <w:r w:rsidR="00834E9D" w:rsidRPr="00205F63">
        <w:rPr>
          <w:b/>
          <w:bCs/>
          <w:i/>
          <w:iCs/>
        </w:rPr>
        <w:t xml:space="preserve"> Training and Assessment for Advocacy in the lower courts</w:t>
      </w:r>
    </w:p>
    <w:p w14:paraId="0AF6751C" w14:textId="77777777" w:rsidR="00706A07" w:rsidRPr="00706A07" w:rsidRDefault="00706A07" w:rsidP="00706A07">
      <w:pPr>
        <w:pStyle w:val="ListParagraph"/>
        <w:widowControl/>
        <w:autoSpaceDE/>
        <w:autoSpaceDN/>
        <w:spacing w:after="160" w:line="259" w:lineRule="auto"/>
        <w:ind w:left="360"/>
        <w:contextualSpacing/>
        <w:jc w:val="both"/>
        <w:rPr>
          <w:i/>
          <w:iCs/>
        </w:rPr>
      </w:pPr>
    </w:p>
    <w:p w14:paraId="1826C6D6" w14:textId="3568191E" w:rsidR="00131DD0" w:rsidRDefault="00131DD0" w:rsidP="009E293B">
      <w:pPr>
        <w:pStyle w:val="ListParagraph"/>
        <w:widowControl/>
        <w:numPr>
          <w:ilvl w:val="0"/>
          <w:numId w:val="1"/>
        </w:numPr>
        <w:autoSpaceDE/>
        <w:autoSpaceDN/>
        <w:spacing w:after="160" w:line="259" w:lineRule="auto"/>
        <w:contextualSpacing/>
        <w:jc w:val="both"/>
      </w:pPr>
      <w:r>
        <w:t xml:space="preserve">As outlined at paragraph </w:t>
      </w:r>
      <w:r w:rsidR="0044750A">
        <w:t>8</w:t>
      </w:r>
      <w:r>
        <w:t>, CILEX Litigators and Advocates already hold rights of audience in the lowers courts. The rights of audience are awarded by CRL once the applicant has successfully completed a</w:t>
      </w:r>
      <w:r w:rsidR="00205F63">
        <w:t xml:space="preserve"> </w:t>
      </w:r>
      <w:r w:rsidR="00205F63">
        <w:rPr>
          <w:rFonts w:eastAsia="Calibri"/>
          <w:lang w:eastAsia="en-US" w:bidi="ar-SA"/>
        </w:rPr>
        <w:t>CRL approved</w:t>
      </w:r>
      <w:r>
        <w:t xml:space="preserve"> </w:t>
      </w:r>
      <w:r w:rsidR="00205F63">
        <w:t>a</w:t>
      </w:r>
      <w:r>
        <w:t xml:space="preserve">dvocacy </w:t>
      </w:r>
      <w:r w:rsidR="00205F63">
        <w:t>s</w:t>
      </w:r>
      <w:r>
        <w:t xml:space="preserve">kills </w:t>
      </w:r>
      <w:r w:rsidR="00205F63">
        <w:t>c</w:t>
      </w:r>
      <w:r>
        <w:t xml:space="preserve">ourse and </w:t>
      </w:r>
      <w:r w:rsidR="00205F63">
        <w:t>a</w:t>
      </w:r>
      <w:r>
        <w:t>ssessment (the right to conduct litigation is assessed separately).</w:t>
      </w:r>
    </w:p>
    <w:p w14:paraId="21296639" w14:textId="77777777" w:rsidR="00D934EE" w:rsidRDefault="00D934EE" w:rsidP="00D934EE">
      <w:pPr>
        <w:pStyle w:val="ListParagraph"/>
        <w:widowControl/>
        <w:autoSpaceDE/>
        <w:autoSpaceDN/>
        <w:spacing w:after="160" w:line="259" w:lineRule="auto"/>
        <w:ind w:left="720"/>
        <w:contextualSpacing/>
        <w:jc w:val="both"/>
      </w:pPr>
    </w:p>
    <w:p w14:paraId="74552D8D" w14:textId="1424BF56" w:rsidR="00131DD0" w:rsidRDefault="00131DD0" w:rsidP="00B103C7">
      <w:pPr>
        <w:pStyle w:val="ListParagraph"/>
        <w:widowControl/>
        <w:numPr>
          <w:ilvl w:val="0"/>
          <w:numId w:val="1"/>
        </w:numPr>
        <w:autoSpaceDE/>
        <w:autoSpaceDN/>
        <w:spacing w:after="160" w:line="259" w:lineRule="auto"/>
        <w:contextualSpacing/>
        <w:jc w:val="both"/>
      </w:pPr>
      <w:r>
        <w:t xml:space="preserve">The current </w:t>
      </w:r>
      <w:r w:rsidR="00205F63">
        <w:t>a</w:t>
      </w:r>
      <w:r>
        <w:t xml:space="preserve">dvocacy </w:t>
      </w:r>
      <w:r w:rsidR="00205F63">
        <w:t>s</w:t>
      </w:r>
      <w:r>
        <w:t xml:space="preserve">kills course is outlined below (full details can be found </w:t>
      </w:r>
      <w:hyperlink r:id="rId12" w:history="1">
        <w:r w:rsidRPr="00FA404C">
          <w:rPr>
            <w:rStyle w:val="Hyperlink"/>
          </w:rPr>
          <w:t>here</w:t>
        </w:r>
      </w:hyperlink>
      <w:r w:rsidR="00FA404C">
        <w:t xml:space="preserve"> and </w:t>
      </w:r>
      <w:hyperlink r:id="rId13" w:history="1">
        <w:r w:rsidR="00FA404C" w:rsidRPr="00FA404C">
          <w:rPr>
            <w:rStyle w:val="Hyperlink"/>
          </w:rPr>
          <w:t>here</w:t>
        </w:r>
      </w:hyperlink>
      <w:r>
        <w:t>):</w:t>
      </w:r>
    </w:p>
    <w:p w14:paraId="4DFAB54C" w14:textId="77777777" w:rsidR="00B103C7" w:rsidRDefault="00B103C7" w:rsidP="00B103C7">
      <w:pPr>
        <w:pStyle w:val="ListParagraph"/>
        <w:ind w:left="720"/>
        <w:rPr>
          <w:rFonts w:cs="Tahoma"/>
        </w:rPr>
      </w:pPr>
    </w:p>
    <w:p w14:paraId="37E70F56" w14:textId="53ED3442" w:rsidR="00B103C7" w:rsidRDefault="00131DD0" w:rsidP="00131DD0">
      <w:pPr>
        <w:pStyle w:val="ListParagraph"/>
        <w:numPr>
          <w:ilvl w:val="0"/>
          <w:numId w:val="27"/>
        </w:numPr>
        <w:rPr>
          <w:rFonts w:cs="Tahoma"/>
        </w:rPr>
      </w:pPr>
      <w:r w:rsidRPr="00131DD0">
        <w:rPr>
          <w:rFonts w:cs="Tahoma"/>
        </w:rPr>
        <w:lastRenderedPageBreak/>
        <w:t xml:space="preserve">It </w:t>
      </w:r>
      <w:r>
        <w:rPr>
          <w:rFonts w:cs="Tahoma"/>
        </w:rPr>
        <w:t>consists of</w:t>
      </w:r>
      <w:r w:rsidRPr="00131DD0">
        <w:rPr>
          <w:rFonts w:cs="Tahoma"/>
        </w:rPr>
        <w:t xml:space="preserve"> 36 hours tuition, delivered over 6 one day sessions</w:t>
      </w:r>
      <w:r>
        <w:rPr>
          <w:rFonts w:cs="Tahoma"/>
        </w:rPr>
        <w:t xml:space="preserve"> (including one day of home study to complete the law of evidence requirements)</w:t>
      </w:r>
      <w:r w:rsidRPr="00131DD0">
        <w:rPr>
          <w:rFonts w:cs="Tahoma"/>
        </w:rPr>
        <w:t xml:space="preserve">. </w:t>
      </w:r>
    </w:p>
    <w:p w14:paraId="59C4F3AE" w14:textId="28937D43" w:rsidR="00B103C7" w:rsidRDefault="00205F63" w:rsidP="00B940E6">
      <w:pPr>
        <w:pStyle w:val="ListParagraph"/>
        <w:numPr>
          <w:ilvl w:val="0"/>
          <w:numId w:val="27"/>
        </w:numPr>
        <w:rPr>
          <w:rFonts w:cs="Tahoma"/>
        </w:rPr>
      </w:pPr>
      <w:r>
        <w:rPr>
          <w:rFonts w:cs="Tahoma"/>
        </w:rPr>
        <w:t>It</w:t>
      </w:r>
      <w:r w:rsidR="00B103C7" w:rsidRPr="00B103C7">
        <w:rPr>
          <w:rFonts w:cs="Tahoma"/>
        </w:rPr>
        <w:t xml:space="preserve"> develops </w:t>
      </w:r>
      <w:r w:rsidR="00131DD0" w:rsidRPr="00B103C7">
        <w:rPr>
          <w:rFonts w:cs="Tahoma"/>
        </w:rPr>
        <w:t xml:space="preserve">candidates’ advocacy skills and </w:t>
      </w:r>
      <w:r w:rsidR="00B103C7" w:rsidRPr="00B103C7">
        <w:rPr>
          <w:rFonts w:cs="Tahoma"/>
        </w:rPr>
        <w:t>tuition is</w:t>
      </w:r>
      <w:r w:rsidR="00131DD0" w:rsidRPr="00B103C7">
        <w:rPr>
          <w:rFonts w:cs="Tahoma"/>
        </w:rPr>
        <w:t xml:space="preserve"> provided in to encourage the maximum amount of individual participation. </w:t>
      </w:r>
    </w:p>
    <w:p w14:paraId="02D66B80" w14:textId="7D389789" w:rsidR="00131DD0" w:rsidRPr="00B103C7" w:rsidRDefault="00B103C7" w:rsidP="00B103C7">
      <w:pPr>
        <w:pStyle w:val="ListParagraph"/>
        <w:numPr>
          <w:ilvl w:val="0"/>
          <w:numId w:val="27"/>
        </w:numPr>
      </w:pPr>
      <w:r>
        <w:rPr>
          <w:rFonts w:cs="Tahoma"/>
        </w:rPr>
        <w:t>Candidates are provided with</w:t>
      </w:r>
      <w:r w:rsidR="00131DD0" w:rsidRPr="00B103C7">
        <w:rPr>
          <w:rFonts w:cs="Tahoma"/>
        </w:rPr>
        <w:t xml:space="preserve"> feedback </w:t>
      </w:r>
      <w:r>
        <w:rPr>
          <w:rFonts w:cs="Tahoma"/>
        </w:rPr>
        <w:t>throughout the course, after which the candidate is formally assessed through simulated court proceedings.</w:t>
      </w:r>
    </w:p>
    <w:p w14:paraId="7F1A551B" w14:textId="3D393221" w:rsidR="00B103C7" w:rsidRPr="00B103C7" w:rsidRDefault="00B103C7" w:rsidP="00B103C7">
      <w:pPr>
        <w:pStyle w:val="ListParagraph"/>
        <w:numPr>
          <w:ilvl w:val="0"/>
          <w:numId w:val="27"/>
        </w:numPr>
      </w:pPr>
      <w:r>
        <w:rPr>
          <w:rFonts w:cs="Tahoma"/>
        </w:rPr>
        <w:t>The skills developed during the course build on pre-existing skills that the candidates have developed in the workplace</w:t>
      </w:r>
      <w:r w:rsidR="00205F63">
        <w:rPr>
          <w:rFonts w:cs="Tahoma"/>
        </w:rPr>
        <w:t>,</w:t>
      </w:r>
      <w:r>
        <w:rPr>
          <w:rFonts w:cs="Tahoma"/>
        </w:rPr>
        <w:t xml:space="preserve"> and cover:</w:t>
      </w:r>
    </w:p>
    <w:p w14:paraId="0B855D0D" w14:textId="77777777" w:rsidR="00B103C7" w:rsidRDefault="00B103C7" w:rsidP="00B103C7">
      <w:pPr>
        <w:pStyle w:val="ListParagraph"/>
        <w:ind w:left="1440"/>
      </w:pPr>
    </w:p>
    <w:p w14:paraId="4365248C" w14:textId="057F9BB7" w:rsidR="00B103C7" w:rsidRDefault="00B103C7" w:rsidP="00B103C7">
      <w:pPr>
        <w:pStyle w:val="ListParagraph"/>
        <w:numPr>
          <w:ilvl w:val="1"/>
          <w:numId w:val="27"/>
        </w:numPr>
      </w:pPr>
      <w:r>
        <w:t>Professional Conduct</w:t>
      </w:r>
    </w:p>
    <w:p w14:paraId="0B23F77F" w14:textId="288CFA25" w:rsidR="00B103C7" w:rsidRDefault="00B103C7" w:rsidP="00B103C7">
      <w:pPr>
        <w:pStyle w:val="ListParagraph"/>
        <w:numPr>
          <w:ilvl w:val="1"/>
          <w:numId w:val="27"/>
        </w:numPr>
      </w:pPr>
      <w:r>
        <w:t>Interviewing</w:t>
      </w:r>
    </w:p>
    <w:p w14:paraId="77464F8A" w14:textId="240A2894" w:rsidR="00B103C7" w:rsidRDefault="00B103C7" w:rsidP="00B103C7">
      <w:pPr>
        <w:pStyle w:val="ListParagraph"/>
        <w:numPr>
          <w:ilvl w:val="1"/>
          <w:numId w:val="27"/>
        </w:numPr>
      </w:pPr>
      <w:r>
        <w:t>Negotiation</w:t>
      </w:r>
    </w:p>
    <w:p w14:paraId="34C382B8" w14:textId="1A2D751B" w:rsidR="00B103C7" w:rsidRDefault="00B103C7" w:rsidP="00B103C7">
      <w:pPr>
        <w:pStyle w:val="ListParagraph"/>
        <w:numPr>
          <w:ilvl w:val="1"/>
          <w:numId w:val="27"/>
        </w:numPr>
      </w:pPr>
      <w:r>
        <w:t>Case Analysis and Theory</w:t>
      </w:r>
    </w:p>
    <w:p w14:paraId="5CF25377" w14:textId="418E651B" w:rsidR="00B103C7" w:rsidRDefault="00B103C7" w:rsidP="00B103C7">
      <w:pPr>
        <w:pStyle w:val="ListParagraph"/>
        <w:numPr>
          <w:ilvl w:val="1"/>
          <w:numId w:val="27"/>
        </w:numPr>
      </w:pPr>
      <w:r>
        <w:t>Skeleton Argument</w:t>
      </w:r>
    </w:p>
    <w:p w14:paraId="0EC98591" w14:textId="2D2B7C2E" w:rsidR="00B103C7" w:rsidRDefault="00B103C7" w:rsidP="00B103C7">
      <w:pPr>
        <w:pStyle w:val="ListParagraph"/>
        <w:numPr>
          <w:ilvl w:val="1"/>
          <w:numId w:val="27"/>
        </w:numPr>
      </w:pPr>
      <w:r>
        <w:t>Advocacy (preparation and at the hearing), and</w:t>
      </w:r>
    </w:p>
    <w:p w14:paraId="7847B605" w14:textId="57F68D06" w:rsidR="00B103C7" w:rsidRDefault="00B103C7" w:rsidP="00B103C7">
      <w:pPr>
        <w:pStyle w:val="ListParagraph"/>
        <w:numPr>
          <w:ilvl w:val="1"/>
          <w:numId w:val="27"/>
        </w:numPr>
      </w:pPr>
      <w:r>
        <w:t>Evidence</w:t>
      </w:r>
    </w:p>
    <w:p w14:paraId="0291B05F" w14:textId="77777777" w:rsidR="00B103C7" w:rsidRDefault="00B103C7" w:rsidP="0069301A">
      <w:pPr>
        <w:widowControl/>
        <w:autoSpaceDE/>
        <w:autoSpaceDN/>
        <w:spacing w:after="160" w:line="259" w:lineRule="auto"/>
        <w:contextualSpacing/>
        <w:jc w:val="both"/>
        <w:rPr>
          <w:b/>
          <w:bCs/>
          <w:i/>
          <w:iCs/>
        </w:rPr>
      </w:pPr>
    </w:p>
    <w:p w14:paraId="4F986CA2" w14:textId="08E529ED" w:rsidR="00D934EE" w:rsidRDefault="00D934EE" w:rsidP="00B45C19">
      <w:pPr>
        <w:pStyle w:val="ListParagraph"/>
        <w:widowControl/>
        <w:numPr>
          <w:ilvl w:val="0"/>
          <w:numId w:val="1"/>
        </w:numPr>
        <w:autoSpaceDE/>
        <w:autoSpaceDN/>
        <w:spacing w:after="160" w:line="259" w:lineRule="auto"/>
        <w:contextualSpacing/>
        <w:jc w:val="both"/>
      </w:pPr>
      <w:r>
        <w:t xml:space="preserve">CRL has worked with our current external assessors for the </w:t>
      </w:r>
      <w:r w:rsidR="00205F63">
        <w:t>a</w:t>
      </w:r>
      <w:r>
        <w:t xml:space="preserve">dvocacy </w:t>
      </w:r>
      <w:r w:rsidR="00205F63">
        <w:t>s</w:t>
      </w:r>
      <w:r>
        <w:t>kills courses and with the current training provider to determine additional requirements to enable CILEX Litigators and Advocates to obtain Higher Rights of Audience.</w:t>
      </w:r>
    </w:p>
    <w:p w14:paraId="5A86178D" w14:textId="77777777" w:rsidR="00205F63" w:rsidRDefault="00205F63" w:rsidP="00205F63">
      <w:pPr>
        <w:pStyle w:val="ListParagraph"/>
        <w:widowControl/>
        <w:autoSpaceDE/>
        <w:autoSpaceDN/>
        <w:spacing w:after="160" w:line="259" w:lineRule="auto"/>
        <w:ind w:left="720"/>
        <w:contextualSpacing/>
        <w:jc w:val="both"/>
      </w:pPr>
    </w:p>
    <w:p w14:paraId="567FBFA2" w14:textId="21093247" w:rsidR="00D934EE" w:rsidRPr="00205F63" w:rsidRDefault="00205F63" w:rsidP="00205F63">
      <w:pPr>
        <w:widowControl/>
        <w:autoSpaceDE/>
        <w:autoSpaceDN/>
        <w:spacing w:after="160" w:line="259" w:lineRule="auto"/>
        <w:contextualSpacing/>
        <w:jc w:val="both"/>
        <w:rPr>
          <w:b/>
          <w:bCs/>
          <w:i/>
          <w:iCs/>
        </w:rPr>
      </w:pPr>
      <w:r w:rsidRPr="00205F63">
        <w:rPr>
          <w:b/>
          <w:bCs/>
          <w:i/>
          <w:iCs/>
        </w:rPr>
        <w:t xml:space="preserve">b. </w:t>
      </w:r>
      <w:r w:rsidR="00D934EE" w:rsidRPr="00205F63">
        <w:rPr>
          <w:b/>
          <w:bCs/>
          <w:i/>
          <w:iCs/>
        </w:rPr>
        <w:t>Proposals for additional training and assessment to award Higher Rights of Audience to suitably competent CILEX Litigators and Advocates</w:t>
      </w:r>
    </w:p>
    <w:p w14:paraId="76EBB850" w14:textId="4C0ADA96" w:rsidR="00D934EE" w:rsidRDefault="00D934EE" w:rsidP="00D934EE">
      <w:pPr>
        <w:widowControl/>
        <w:autoSpaceDE/>
        <w:autoSpaceDN/>
        <w:spacing w:after="160" w:line="259" w:lineRule="auto"/>
        <w:contextualSpacing/>
        <w:jc w:val="both"/>
        <w:rPr>
          <w:i/>
          <w:iCs/>
        </w:rPr>
      </w:pPr>
    </w:p>
    <w:p w14:paraId="57707A57" w14:textId="33E41A36" w:rsidR="00D934EE" w:rsidRDefault="00D934EE" w:rsidP="00D934EE">
      <w:pPr>
        <w:pStyle w:val="ListParagraph"/>
        <w:widowControl/>
        <w:numPr>
          <w:ilvl w:val="0"/>
          <w:numId w:val="1"/>
        </w:numPr>
        <w:autoSpaceDE/>
        <w:autoSpaceDN/>
        <w:spacing w:after="160" w:line="259" w:lineRule="auto"/>
        <w:contextualSpacing/>
        <w:jc w:val="both"/>
      </w:pPr>
      <w:r>
        <w:t>CRL awards rights of audience in one or more of the following areas of practice:</w:t>
      </w:r>
    </w:p>
    <w:p w14:paraId="50CE53F3" w14:textId="5E833E67" w:rsidR="00D934EE" w:rsidRDefault="00D934EE" w:rsidP="00D934EE">
      <w:pPr>
        <w:pStyle w:val="ListParagraph"/>
        <w:widowControl/>
        <w:numPr>
          <w:ilvl w:val="1"/>
          <w:numId w:val="1"/>
        </w:numPr>
        <w:autoSpaceDE/>
        <w:autoSpaceDN/>
        <w:spacing w:after="160" w:line="259" w:lineRule="auto"/>
        <w:contextualSpacing/>
        <w:jc w:val="both"/>
      </w:pPr>
      <w:r>
        <w:t>Criminal</w:t>
      </w:r>
      <w:r w:rsidR="00FA404C">
        <w:t xml:space="preserve"> proceedings</w:t>
      </w:r>
      <w:r>
        <w:t>,</w:t>
      </w:r>
    </w:p>
    <w:p w14:paraId="6341E2D8" w14:textId="52AC35B5" w:rsidR="00D934EE" w:rsidRDefault="00D934EE" w:rsidP="00D934EE">
      <w:pPr>
        <w:pStyle w:val="ListParagraph"/>
        <w:widowControl/>
        <w:numPr>
          <w:ilvl w:val="1"/>
          <w:numId w:val="1"/>
        </w:numPr>
        <w:autoSpaceDE/>
        <w:autoSpaceDN/>
        <w:spacing w:after="160" w:line="259" w:lineRule="auto"/>
        <w:contextualSpacing/>
        <w:jc w:val="both"/>
      </w:pPr>
      <w:r>
        <w:t>Civil</w:t>
      </w:r>
      <w:r w:rsidR="00FA404C">
        <w:t xml:space="preserve"> proceedings</w:t>
      </w:r>
      <w:r>
        <w:t xml:space="preserve">, </w:t>
      </w:r>
      <w:r w:rsidR="002D17D3">
        <w:t>or</w:t>
      </w:r>
    </w:p>
    <w:p w14:paraId="25B2916B" w14:textId="72995CA4" w:rsidR="00D934EE" w:rsidRDefault="00D934EE" w:rsidP="00D934EE">
      <w:pPr>
        <w:pStyle w:val="ListParagraph"/>
        <w:widowControl/>
        <w:numPr>
          <w:ilvl w:val="1"/>
          <w:numId w:val="1"/>
        </w:numPr>
        <w:autoSpaceDE/>
        <w:autoSpaceDN/>
        <w:spacing w:after="160" w:line="259" w:lineRule="auto"/>
        <w:contextualSpacing/>
        <w:jc w:val="both"/>
      </w:pPr>
      <w:r>
        <w:t>Family</w:t>
      </w:r>
      <w:r w:rsidR="00FA404C">
        <w:t xml:space="preserve"> proceedings</w:t>
      </w:r>
    </w:p>
    <w:p w14:paraId="64F483CB" w14:textId="15A95770" w:rsidR="00D934EE" w:rsidRDefault="00D934EE" w:rsidP="00D934EE">
      <w:pPr>
        <w:pStyle w:val="ListParagraph"/>
        <w:widowControl/>
        <w:autoSpaceDE/>
        <w:autoSpaceDN/>
        <w:spacing w:after="160" w:line="259" w:lineRule="auto"/>
        <w:ind w:left="720"/>
        <w:contextualSpacing/>
        <w:jc w:val="both"/>
      </w:pPr>
    </w:p>
    <w:p w14:paraId="01B79BAB" w14:textId="3EEE6FC5" w:rsidR="00E039D1" w:rsidRPr="00E039D1" w:rsidRDefault="00D934EE" w:rsidP="00E039D1">
      <w:pPr>
        <w:pStyle w:val="ListParagraph"/>
        <w:numPr>
          <w:ilvl w:val="0"/>
          <w:numId w:val="1"/>
        </w:numPr>
        <w:rPr>
          <w:rFonts w:asciiTheme="minorHAnsi" w:eastAsiaTheme="minorHAnsi" w:hAnsiTheme="minorHAnsi" w:cstheme="minorBidi"/>
          <w:lang w:bidi="ar-SA"/>
        </w:rPr>
      </w:pPr>
      <w:r>
        <w:t xml:space="preserve">However, </w:t>
      </w:r>
      <w:r w:rsidR="00E039D1">
        <w:t xml:space="preserve">because </w:t>
      </w:r>
      <w:r w:rsidR="00FA404C">
        <w:t>most</w:t>
      </w:r>
      <w:r w:rsidR="00E039D1">
        <w:t xml:space="preserve"> family </w:t>
      </w:r>
      <w:r w:rsidR="00FA404C">
        <w:t xml:space="preserve">proceedings </w:t>
      </w:r>
      <w:r w:rsidR="00E039D1">
        <w:t>work is dealt with in the lower courts</w:t>
      </w:r>
      <w:r w:rsidR="002503F8">
        <w:t>,</w:t>
      </w:r>
      <w:r w:rsidR="00E039D1">
        <w:t xml:space="preserve"> and the existing advocacy rights course will provide appropriate rights of audience, CRL is not proposing to provide a separate Higher Rights qualification for family work. However, family lawyers seeking Higher Rights would be able to take the civil route</w:t>
      </w:r>
      <w:r w:rsidR="002503F8">
        <w:t xml:space="preserve"> if they wish</w:t>
      </w:r>
      <w:r w:rsidR="002D17D3">
        <w:t>ed</w:t>
      </w:r>
      <w:r w:rsidR="002503F8">
        <w:t xml:space="preserve"> to seek Higher Rights of Audience</w:t>
      </w:r>
      <w:r w:rsidR="00E039D1">
        <w:t>.</w:t>
      </w:r>
    </w:p>
    <w:p w14:paraId="0E821625" w14:textId="77777777" w:rsidR="00E039D1" w:rsidRDefault="00E039D1" w:rsidP="00E039D1"/>
    <w:p w14:paraId="39A41D34" w14:textId="68DB4CE9" w:rsidR="00E039D1" w:rsidRDefault="00E039D1" w:rsidP="00E039D1">
      <w:pPr>
        <w:pStyle w:val="ListParagraph"/>
        <w:numPr>
          <w:ilvl w:val="0"/>
          <w:numId w:val="1"/>
        </w:numPr>
      </w:pPr>
      <w:r>
        <w:t xml:space="preserve">As part of developing the </w:t>
      </w:r>
      <w:r w:rsidR="002503F8">
        <w:t xml:space="preserve">additional </w:t>
      </w:r>
      <w:r>
        <w:t xml:space="preserve">skills required </w:t>
      </w:r>
      <w:r w:rsidR="002503F8">
        <w:t>to undertake advocacy in all courts</w:t>
      </w:r>
      <w:r>
        <w:t xml:space="preserve">, CRL </w:t>
      </w:r>
      <w:r w:rsidR="002503F8">
        <w:t>proposes</w:t>
      </w:r>
      <w:r>
        <w:t xml:space="preserve"> that</w:t>
      </w:r>
      <w:r w:rsidR="002503F8">
        <w:t xml:space="preserve"> the additional</w:t>
      </w:r>
      <w:r>
        <w:t xml:space="preserve"> training should include formative assessments to cover:</w:t>
      </w:r>
    </w:p>
    <w:p w14:paraId="680135E5" w14:textId="77777777" w:rsidR="00E039D1" w:rsidRDefault="00E039D1" w:rsidP="00E039D1">
      <w:pPr>
        <w:pStyle w:val="ListParagraph"/>
      </w:pPr>
    </w:p>
    <w:p w14:paraId="328B6346" w14:textId="77777777" w:rsidR="00E039D1" w:rsidRDefault="00E039D1" w:rsidP="00E039D1">
      <w:pPr>
        <w:pStyle w:val="ListParagraph"/>
        <w:numPr>
          <w:ilvl w:val="1"/>
          <w:numId w:val="1"/>
        </w:numPr>
      </w:pPr>
      <w:r>
        <w:t xml:space="preserve">A Trial Strategy Plan (TSP). </w:t>
      </w:r>
    </w:p>
    <w:p w14:paraId="1CD0AEE2" w14:textId="77777777" w:rsidR="00E039D1" w:rsidRDefault="00E039D1" w:rsidP="00706A07">
      <w:pPr>
        <w:pStyle w:val="ListParagraph"/>
        <w:widowControl/>
        <w:numPr>
          <w:ilvl w:val="1"/>
          <w:numId w:val="1"/>
        </w:numPr>
        <w:autoSpaceDE/>
        <w:autoSpaceDN/>
        <w:spacing w:after="160" w:line="256" w:lineRule="auto"/>
        <w:contextualSpacing/>
      </w:pPr>
      <w:r>
        <w:t xml:space="preserve">Additional written training to extend the knowledge gained on the current Advocacy Skills course in relation to evidence </w:t>
      </w:r>
    </w:p>
    <w:p w14:paraId="62465149" w14:textId="402271A4" w:rsidR="00E039D1" w:rsidRDefault="00E039D1" w:rsidP="00706A07">
      <w:pPr>
        <w:pStyle w:val="ListParagraph"/>
        <w:widowControl/>
        <w:numPr>
          <w:ilvl w:val="1"/>
          <w:numId w:val="1"/>
        </w:numPr>
        <w:autoSpaceDE/>
        <w:autoSpaceDN/>
        <w:spacing w:after="160" w:line="256" w:lineRule="auto"/>
        <w:contextualSpacing/>
      </w:pPr>
      <w:r>
        <w:t>Crown Court processes, conduct, ethics</w:t>
      </w:r>
      <w:r w:rsidR="002503F8">
        <w:t>,</w:t>
      </w:r>
      <w:r>
        <w:t xml:space="preserve"> and etiquette </w:t>
      </w:r>
    </w:p>
    <w:p w14:paraId="00B72851" w14:textId="1F8E9333" w:rsidR="00E039D1" w:rsidRDefault="00E039D1" w:rsidP="00706A07">
      <w:pPr>
        <w:pStyle w:val="ListParagraph"/>
        <w:widowControl/>
        <w:numPr>
          <w:ilvl w:val="1"/>
          <w:numId w:val="1"/>
        </w:numPr>
        <w:autoSpaceDE/>
        <w:autoSpaceDN/>
        <w:spacing w:after="160" w:line="256" w:lineRule="auto"/>
        <w:contextualSpacing/>
      </w:pPr>
      <w:r>
        <w:t xml:space="preserve">Speeches, applications and submissions, appeals, skeleton arguments </w:t>
      </w:r>
    </w:p>
    <w:p w14:paraId="0D925D68" w14:textId="60C81DF3" w:rsidR="00E039D1" w:rsidRDefault="00E039D1" w:rsidP="00706A07">
      <w:pPr>
        <w:pStyle w:val="ListParagraph"/>
        <w:widowControl/>
        <w:numPr>
          <w:ilvl w:val="1"/>
          <w:numId w:val="1"/>
        </w:numPr>
        <w:autoSpaceDE/>
        <w:autoSpaceDN/>
        <w:spacing w:after="160" w:line="256" w:lineRule="auto"/>
        <w:contextualSpacing/>
      </w:pPr>
      <w:r>
        <w:t xml:space="preserve">Sentencing and mitigation </w:t>
      </w:r>
    </w:p>
    <w:p w14:paraId="4316182D" w14:textId="77777777" w:rsidR="00E039D1" w:rsidRDefault="00E039D1" w:rsidP="00E039D1">
      <w:pPr>
        <w:pStyle w:val="ListParagraph"/>
      </w:pPr>
    </w:p>
    <w:p w14:paraId="41AA60EF" w14:textId="5ED6E6C1" w:rsidR="00E039D1" w:rsidRDefault="00706A07" w:rsidP="00706A07">
      <w:pPr>
        <w:pStyle w:val="ListParagraph"/>
        <w:numPr>
          <w:ilvl w:val="0"/>
          <w:numId w:val="1"/>
        </w:numPr>
      </w:pPr>
      <w:r>
        <w:lastRenderedPageBreak/>
        <w:t xml:space="preserve">CRL estimates that this will require an additional </w:t>
      </w:r>
      <w:r w:rsidR="00E039D1">
        <w:t>12 hrs training over two days with pre-reading required.</w:t>
      </w:r>
    </w:p>
    <w:p w14:paraId="755F62DC" w14:textId="57DEB12E" w:rsidR="00706A07" w:rsidRDefault="00706A07" w:rsidP="00706A07">
      <w:pPr>
        <w:pStyle w:val="ListParagraph"/>
        <w:ind w:left="720"/>
      </w:pPr>
    </w:p>
    <w:p w14:paraId="4D11B796" w14:textId="121C3068" w:rsidR="00706A07" w:rsidRDefault="00706A07" w:rsidP="00706A07">
      <w:pPr>
        <w:pStyle w:val="ListParagraph"/>
        <w:numPr>
          <w:ilvl w:val="0"/>
          <w:numId w:val="1"/>
        </w:numPr>
      </w:pPr>
      <w:r>
        <w:t xml:space="preserve">CRL would propose that prospective candidates </w:t>
      </w:r>
      <w:r w:rsidR="002503F8">
        <w:t xml:space="preserve">will become eligible to </w:t>
      </w:r>
      <w:r>
        <w:t>take the additional training once they have completed their first renewal of their Advocacy rights</w:t>
      </w:r>
      <w:r w:rsidR="002503F8">
        <w:t>. This is</w:t>
      </w:r>
      <w:r>
        <w:t xml:space="preserve"> to ensure that they have the appropriate experience to undertake advocacy in all courts.</w:t>
      </w:r>
    </w:p>
    <w:p w14:paraId="7E99CC96" w14:textId="77777777" w:rsidR="002D17D3" w:rsidRDefault="002D17D3" w:rsidP="002D17D3">
      <w:pPr>
        <w:pStyle w:val="ListParagraph"/>
      </w:pPr>
    </w:p>
    <w:p w14:paraId="5E79B822" w14:textId="15A277FC" w:rsidR="002D17D3" w:rsidRDefault="002D17D3" w:rsidP="00706A07">
      <w:pPr>
        <w:pStyle w:val="ListParagraph"/>
        <w:numPr>
          <w:ilvl w:val="0"/>
          <w:numId w:val="1"/>
        </w:numPr>
      </w:pPr>
      <w:r>
        <w:t xml:space="preserve">On completion of the additional training, candidates would be required to demonstrate competence against each of the elements listed at paragraph 19 a-e inclusive. After which, candidates would be able to apply to CRL for authorisation to become a Chartered Legal Executive Litigator and Higher Rights Advocate. </w:t>
      </w:r>
    </w:p>
    <w:p w14:paraId="325E018E" w14:textId="77777777" w:rsidR="00B103C7" w:rsidRDefault="00B103C7" w:rsidP="0069301A">
      <w:pPr>
        <w:widowControl/>
        <w:autoSpaceDE/>
        <w:autoSpaceDN/>
        <w:spacing w:after="160" w:line="259" w:lineRule="auto"/>
        <w:contextualSpacing/>
        <w:jc w:val="both"/>
        <w:rPr>
          <w:b/>
          <w:bCs/>
          <w:i/>
          <w:iCs/>
        </w:rPr>
      </w:pPr>
    </w:p>
    <w:p w14:paraId="0573913D" w14:textId="0D6D3A30" w:rsidR="00E772ED" w:rsidRDefault="0069301A" w:rsidP="0069301A">
      <w:pPr>
        <w:widowControl/>
        <w:autoSpaceDE/>
        <w:autoSpaceDN/>
        <w:spacing w:after="160" w:line="259" w:lineRule="auto"/>
        <w:contextualSpacing/>
        <w:jc w:val="both"/>
      </w:pPr>
      <w:r w:rsidRPr="0069301A">
        <w:rPr>
          <w:b/>
          <w:bCs/>
          <w:i/>
          <w:iCs/>
        </w:rPr>
        <w:t>Proposed amendments to the Practitioner Authorisation Rules</w:t>
      </w:r>
    </w:p>
    <w:p w14:paraId="23C47489" w14:textId="13990449" w:rsidR="008F3FC9" w:rsidRDefault="008944C8" w:rsidP="008013F8">
      <w:pPr>
        <w:pStyle w:val="ListParagraph"/>
        <w:widowControl/>
        <w:numPr>
          <w:ilvl w:val="0"/>
          <w:numId w:val="1"/>
        </w:numPr>
        <w:autoSpaceDE/>
        <w:autoSpaceDN/>
        <w:spacing w:after="160" w:line="259" w:lineRule="auto"/>
        <w:contextualSpacing/>
        <w:jc w:val="both"/>
      </w:pPr>
      <w:r>
        <w:t xml:space="preserve">To bring the proposals into effect, </w:t>
      </w:r>
      <w:r w:rsidR="00677DAA">
        <w:t xml:space="preserve">CILEx Regulation is proposing to </w:t>
      </w:r>
      <w:r w:rsidR="00677DAA" w:rsidRPr="008944C8">
        <w:t>amend the</w:t>
      </w:r>
      <w:r w:rsidR="00B75D0C" w:rsidRPr="008944C8">
        <w:t xml:space="preserve"> Practitioner Authorisation Rules</w:t>
      </w:r>
      <w:r>
        <w:t xml:space="preserve"> which can be found at </w:t>
      </w:r>
      <w:r w:rsidRPr="008944C8">
        <w:rPr>
          <w:b/>
          <w:bCs/>
        </w:rPr>
        <w:t>Appendix 2</w:t>
      </w:r>
      <w:r>
        <w:t>.</w:t>
      </w:r>
    </w:p>
    <w:p w14:paraId="70460F00" w14:textId="79BCE000" w:rsidR="008944C8" w:rsidRDefault="008944C8" w:rsidP="008944C8">
      <w:pPr>
        <w:pStyle w:val="ListParagraph"/>
        <w:widowControl/>
        <w:autoSpaceDE/>
        <w:autoSpaceDN/>
        <w:spacing w:after="160" w:line="259" w:lineRule="auto"/>
        <w:ind w:left="720"/>
        <w:contextualSpacing/>
        <w:jc w:val="both"/>
      </w:pPr>
    </w:p>
    <w:p w14:paraId="79B812FD" w14:textId="3B8467D8" w:rsidR="008944C8" w:rsidRDefault="008944C8" w:rsidP="008013F8">
      <w:pPr>
        <w:pStyle w:val="ListParagraph"/>
        <w:widowControl/>
        <w:numPr>
          <w:ilvl w:val="0"/>
          <w:numId w:val="1"/>
        </w:numPr>
        <w:autoSpaceDE/>
        <w:autoSpaceDN/>
        <w:spacing w:after="160" w:line="259" w:lineRule="auto"/>
        <w:contextualSpacing/>
        <w:jc w:val="both"/>
      </w:pPr>
      <w:r>
        <w:t>The amendments to the rules are as follows:</w:t>
      </w:r>
    </w:p>
    <w:p w14:paraId="03EA29FB" w14:textId="77777777" w:rsidR="008944C8" w:rsidRDefault="008944C8" w:rsidP="008944C8">
      <w:pPr>
        <w:pStyle w:val="ListParagraph"/>
      </w:pPr>
    </w:p>
    <w:p w14:paraId="61909D29" w14:textId="4A926585" w:rsidR="008944C8" w:rsidRDefault="008944C8" w:rsidP="008944C8">
      <w:pPr>
        <w:pStyle w:val="ListParagraph"/>
        <w:widowControl/>
        <w:numPr>
          <w:ilvl w:val="1"/>
          <w:numId w:val="1"/>
        </w:numPr>
        <w:autoSpaceDE/>
        <w:autoSpaceDN/>
        <w:spacing w:after="160" w:line="259" w:lineRule="auto"/>
        <w:contextualSpacing/>
        <w:jc w:val="both"/>
      </w:pPr>
      <w:r>
        <w:t>CILEX Litigators and Advocates who have held rights of audience in the lower courts for at least 12 months will be eligible to apply for Higher Rights of Audience in the relevant specialism (Civil Proceedings for those specialising in either civil proceedings or family proceedings, and Criminal Proceedings for those specialising in criminal proceedings).</w:t>
      </w:r>
    </w:p>
    <w:p w14:paraId="1532C731" w14:textId="5EEA7042" w:rsidR="00FA404C" w:rsidRDefault="008944C8" w:rsidP="00FA404C">
      <w:pPr>
        <w:pStyle w:val="ListParagraph"/>
        <w:widowControl/>
        <w:numPr>
          <w:ilvl w:val="1"/>
          <w:numId w:val="1"/>
        </w:numPr>
        <w:autoSpaceDE/>
        <w:autoSpaceDN/>
        <w:spacing w:after="160" w:line="259" w:lineRule="auto"/>
        <w:contextualSpacing/>
        <w:jc w:val="both"/>
      </w:pPr>
      <w:r>
        <w:t>Applicants seeking Higher Rights of Audience will be required to demonstrate their knowledge and competence by attending an additional course</w:t>
      </w:r>
      <w:r w:rsidR="00FA404C">
        <w:t xml:space="preserve"> and assessment</w:t>
      </w:r>
      <w:r>
        <w:t xml:space="preserve"> to ensure that they have the necessary knowledge, skills and behaviours required of a Higher Rights Advocate.</w:t>
      </w:r>
    </w:p>
    <w:p w14:paraId="62E180FF" w14:textId="14E1CA4D" w:rsidR="00FA404C" w:rsidRDefault="00FA404C" w:rsidP="00FA404C">
      <w:pPr>
        <w:pStyle w:val="ListParagraph"/>
        <w:widowControl/>
        <w:numPr>
          <w:ilvl w:val="1"/>
          <w:numId w:val="1"/>
        </w:numPr>
        <w:autoSpaceDE/>
        <w:autoSpaceDN/>
        <w:spacing w:after="160" w:line="259" w:lineRule="auto"/>
        <w:contextualSpacing/>
        <w:jc w:val="both"/>
        <w:rPr>
          <w:bCs/>
        </w:rPr>
      </w:pPr>
      <w:r>
        <w:t>Once a</w:t>
      </w:r>
      <w:r w:rsidR="009F6649">
        <w:t xml:space="preserve">pproved, the authorised title will be either </w:t>
      </w:r>
      <w:r w:rsidR="009F6649" w:rsidRPr="009F6649">
        <w:rPr>
          <w:bCs/>
        </w:rPr>
        <w:t>Chartered Legal Executive Litigator and Higher Rights Advocate (Civil Litigation) or Chartered Legal Executive Litigator and Higher Rights Advocate (Criminal Litigation)</w:t>
      </w:r>
    </w:p>
    <w:p w14:paraId="351AB7F3" w14:textId="2F3A7CFC" w:rsidR="002D17D3" w:rsidRDefault="002D17D3" w:rsidP="002D17D3">
      <w:pPr>
        <w:pStyle w:val="ListParagraph"/>
        <w:widowControl/>
        <w:autoSpaceDE/>
        <w:autoSpaceDN/>
        <w:spacing w:after="160" w:line="259" w:lineRule="auto"/>
        <w:ind w:left="720"/>
        <w:contextualSpacing/>
        <w:jc w:val="both"/>
        <w:rPr>
          <w:bCs/>
        </w:rPr>
      </w:pPr>
    </w:p>
    <w:p w14:paraId="3287A327" w14:textId="6C39D935" w:rsidR="002D17D3" w:rsidRPr="009F6649" w:rsidRDefault="002D17D3" w:rsidP="002D17D3">
      <w:pPr>
        <w:pStyle w:val="ListParagraph"/>
        <w:widowControl/>
        <w:numPr>
          <w:ilvl w:val="0"/>
          <w:numId w:val="1"/>
        </w:numPr>
        <w:autoSpaceDE/>
        <w:autoSpaceDN/>
        <w:spacing w:after="160" w:line="259" w:lineRule="auto"/>
        <w:contextualSpacing/>
        <w:jc w:val="both"/>
        <w:rPr>
          <w:bCs/>
        </w:rPr>
      </w:pPr>
      <w:r>
        <w:rPr>
          <w:bCs/>
        </w:rPr>
        <w:t>CRL is not proposing to enable Chartered Legal Executive Advocates (i.e., those who do not hold litigation rights) to be able to become Higher Rights Advocates</w:t>
      </w:r>
      <w:r w:rsidR="00D16199">
        <w:rPr>
          <w:bCs/>
        </w:rPr>
        <w:t>.</w:t>
      </w:r>
    </w:p>
    <w:p w14:paraId="75F31973" w14:textId="77777777" w:rsidR="008944C8" w:rsidRPr="008944C8" w:rsidRDefault="008944C8" w:rsidP="00FA404C">
      <w:pPr>
        <w:pStyle w:val="ListParagraph"/>
        <w:widowControl/>
        <w:autoSpaceDE/>
        <w:autoSpaceDN/>
        <w:spacing w:after="160" w:line="259" w:lineRule="auto"/>
        <w:ind w:left="1440"/>
        <w:contextualSpacing/>
        <w:jc w:val="both"/>
      </w:pPr>
    </w:p>
    <w:p w14:paraId="37B401FC" w14:textId="6816A6BD" w:rsidR="00DE6E17" w:rsidRPr="00474C21" w:rsidRDefault="00474C21" w:rsidP="00C7542F">
      <w:pPr>
        <w:widowControl/>
        <w:autoSpaceDE/>
        <w:autoSpaceDN/>
        <w:spacing w:after="160" w:line="259" w:lineRule="auto"/>
        <w:contextualSpacing/>
        <w:jc w:val="both"/>
        <w:rPr>
          <w:b/>
          <w:bCs/>
        </w:rPr>
      </w:pPr>
      <w:r>
        <w:rPr>
          <w:b/>
          <w:bCs/>
        </w:rPr>
        <w:t>Consultation questions</w:t>
      </w:r>
    </w:p>
    <w:p w14:paraId="2E9C4937" w14:textId="746D5F18" w:rsidR="002A52C1" w:rsidRPr="00533977" w:rsidRDefault="002445E1" w:rsidP="008013F8">
      <w:pPr>
        <w:pStyle w:val="ListParagraph"/>
        <w:widowControl/>
        <w:numPr>
          <w:ilvl w:val="0"/>
          <w:numId w:val="1"/>
        </w:numPr>
        <w:autoSpaceDE/>
        <w:autoSpaceDN/>
        <w:spacing w:after="160" w:line="259" w:lineRule="auto"/>
        <w:contextualSpacing/>
        <w:jc w:val="both"/>
        <w:rPr>
          <w:rFonts w:eastAsia="Calibri"/>
          <w:b/>
          <w:i/>
          <w:lang w:eastAsia="en-US" w:bidi="ar-SA"/>
        </w:rPr>
      </w:pPr>
      <w:bookmarkStart w:id="2" w:name="_Hlk516498618"/>
      <w:r w:rsidRPr="00533977">
        <w:t xml:space="preserve">CILEx Regulation welcomes the views of all interested parties </w:t>
      </w:r>
      <w:r w:rsidR="00533977" w:rsidRPr="00533977">
        <w:t xml:space="preserve">as these will inform </w:t>
      </w:r>
      <w:r w:rsidR="002C5E41">
        <w:t>its</w:t>
      </w:r>
      <w:r w:rsidR="00533977" w:rsidRPr="00533977">
        <w:t xml:space="preserve"> next steps with regard</w:t>
      </w:r>
      <w:r w:rsidR="001C4D09">
        <w:t>s</w:t>
      </w:r>
      <w:r w:rsidR="00533977" w:rsidRPr="00533977">
        <w:t xml:space="preserve"> to any future rule change application. </w:t>
      </w:r>
    </w:p>
    <w:p w14:paraId="007BC846" w14:textId="77777777" w:rsidR="002A52C1" w:rsidRPr="007F784D" w:rsidRDefault="002A52C1" w:rsidP="00C7542F">
      <w:pPr>
        <w:widowControl/>
        <w:autoSpaceDE/>
        <w:autoSpaceDN/>
        <w:spacing w:after="160" w:line="259" w:lineRule="auto"/>
        <w:contextualSpacing/>
        <w:jc w:val="both"/>
        <w:rPr>
          <w:rFonts w:eastAsia="Calibri"/>
          <w:b/>
          <w:i/>
          <w:lang w:eastAsia="en-US" w:bidi="ar-SA"/>
        </w:rPr>
      </w:pPr>
    </w:p>
    <w:p w14:paraId="3F4A3280" w14:textId="369361E7" w:rsidR="001A4A92" w:rsidRPr="007F784D" w:rsidRDefault="00CE479D" w:rsidP="00C7542F">
      <w:pPr>
        <w:widowControl/>
        <w:autoSpaceDE/>
        <w:autoSpaceDN/>
        <w:spacing w:after="160" w:line="259" w:lineRule="auto"/>
        <w:ind w:left="720"/>
        <w:contextualSpacing/>
        <w:jc w:val="both"/>
        <w:rPr>
          <w:rFonts w:eastAsia="Calibri"/>
          <w:b/>
          <w:i/>
          <w:lang w:eastAsia="en-US" w:bidi="ar-SA"/>
        </w:rPr>
      </w:pPr>
      <w:r w:rsidRPr="007F784D">
        <w:rPr>
          <w:rFonts w:eastAsia="Calibri"/>
          <w:b/>
          <w:i/>
          <w:lang w:eastAsia="en-US" w:bidi="ar-SA"/>
        </w:rPr>
        <w:t xml:space="preserve">Q1. </w:t>
      </w:r>
      <w:r w:rsidR="001A4A92" w:rsidRPr="007F784D">
        <w:rPr>
          <w:rFonts w:eastAsia="Calibri"/>
          <w:b/>
          <w:i/>
          <w:lang w:eastAsia="en-US" w:bidi="ar-SA"/>
        </w:rPr>
        <w:t xml:space="preserve">Do you </w:t>
      </w:r>
      <w:r w:rsidR="00B75D0C">
        <w:rPr>
          <w:rFonts w:eastAsia="Calibri"/>
          <w:b/>
          <w:i/>
          <w:lang w:eastAsia="en-US" w:bidi="ar-SA"/>
        </w:rPr>
        <w:t xml:space="preserve">agree that CRL should seek </w:t>
      </w:r>
      <w:r w:rsidR="00415221">
        <w:rPr>
          <w:rFonts w:eastAsia="Calibri"/>
          <w:b/>
          <w:i/>
          <w:lang w:eastAsia="en-US" w:bidi="ar-SA"/>
        </w:rPr>
        <w:t>Higher Rights of Audience for suitably qualified CILEX Practitioners</w:t>
      </w:r>
      <w:r w:rsidR="001A4A92" w:rsidRPr="007F784D">
        <w:rPr>
          <w:rFonts w:eastAsia="Calibri"/>
          <w:b/>
          <w:i/>
          <w:lang w:eastAsia="en-US" w:bidi="ar-SA"/>
        </w:rPr>
        <w:t>?</w:t>
      </w:r>
    </w:p>
    <w:p w14:paraId="33917F63" w14:textId="77777777" w:rsidR="00CE479D" w:rsidRPr="007F784D" w:rsidRDefault="00CE479D" w:rsidP="00C7542F">
      <w:pPr>
        <w:widowControl/>
        <w:autoSpaceDE/>
        <w:autoSpaceDN/>
        <w:spacing w:after="160" w:line="259" w:lineRule="auto"/>
        <w:contextualSpacing/>
        <w:jc w:val="both"/>
        <w:rPr>
          <w:rFonts w:eastAsia="Calibri"/>
          <w:b/>
          <w:i/>
          <w:lang w:eastAsia="en-US" w:bidi="ar-SA"/>
        </w:rPr>
      </w:pPr>
    </w:p>
    <w:p w14:paraId="4756D21F" w14:textId="5CBC017A" w:rsidR="001A4A92" w:rsidRPr="007F784D" w:rsidRDefault="001A4A92" w:rsidP="00C7542F">
      <w:pPr>
        <w:widowControl/>
        <w:autoSpaceDE/>
        <w:autoSpaceDN/>
        <w:spacing w:after="160" w:line="259" w:lineRule="auto"/>
        <w:ind w:left="720"/>
        <w:contextualSpacing/>
        <w:jc w:val="both"/>
        <w:rPr>
          <w:rFonts w:eastAsia="Calibri"/>
          <w:b/>
          <w:i/>
          <w:lang w:eastAsia="en-US" w:bidi="ar-SA"/>
        </w:rPr>
      </w:pPr>
      <w:r w:rsidRPr="007F784D">
        <w:rPr>
          <w:rFonts w:eastAsia="Calibri"/>
          <w:b/>
          <w:i/>
          <w:lang w:eastAsia="en-US" w:bidi="ar-SA"/>
        </w:rPr>
        <w:t>Yes/No? Please provide comments</w:t>
      </w:r>
      <w:r w:rsidR="0048507D" w:rsidRPr="007F784D">
        <w:rPr>
          <w:rFonts w:eastAsia="Calibri"/>
          <w:b/>
          <w:i/>
          <w:lang w:eastAsia="en-US" w:bidi="ar-SA"/>
        </w:rPr>
        <w:t>:</w:t>
      </w:r>
    </w:p>
    <w:p w14:paraId="06F62A61" w14:textId="2CC49040" w:rsidR="00786CA7" w:rsidRPr="007F784D" w:rsidRDefault="00786CA7" w:rsidP="00C7542F">
      <w:pPr>
        <w:widowControl/>
        <w:autoSpaceDE/>
        <w:autoSpaceDN/>
        <w:spacing w:after="160" w:line="259" w:lineRule="auto"/>
        <w:ind w:left="720"/>
        <w:contextualSpacing/>
        <w:jc w:val="both"/>
        <w:rPr>
          <w:rFonts w:eastAsia="Calibri"/>
          <w:b/>
          <w:i/>
          <w:lang w:eastAsia="en-US" w:bidi="ar-SA"/>
        </w:rPr>
      </w:pPr>
    </w:p>
    <w:p w14:paraId="582CD8B3" w14:textId="113B0C0B" w:rsidR="001A4A92" w:rsidRPr="007F784D" w:rsidRDefault="001A4A92" w:rsidP="00C7542F">
      <w:pPr>
        <w:widowControl/>
        <w:autoSpaceDE/>
        <w:autoSpaceDN/>
        <w:spacing w:after="160" w:line="259" w:lineRule="auto"/>
        <w:ind w:left="720"/>
        <w:jc w:val="both"/>
        <w:rPr>
          <w:rFonts w:eastAsia="Calibri"/>
          <w:b/>
          <w:i/>
          <w:lang w:eastAsia="en-US" w:bidi="ar-SA"/>
        </w:rPr>
      </w:pPr>
      <w:bookmarkStart w:id="3" w:name="_Hlk516837396"/>
      <w:bookmarkEnd w:id="2"/>
      <w:r w:rsidRPr="007F784D">
        <w:rPr>
          <w:rFonts w:eastAsia="Calibri"/>
          <w:b/>
          <w:i/>
          <w:lang w:eastAsia="en-US" w:bidi="ar-SA"/>
        </w:rPr>
        <w:lastRenderedPageBreak/>
        <w:t>Q2. Do you</w:t>
      </w:r>
      <w:r w:rsidR="001C28DB" w:rsidRPr="007F784D">
        <w:rPr>
          <w:rFonts w:eastAsia="Calibri"/>
          <w:b/>
          <w:i/>
          <w:lang w:eastAsia="en-US" w:bidi="ar-SA"/>
        </w:rPr>
        <w:t xml:space="preserve"> agree </w:t>
      </w:r>
      <w:r w:rsidR="00415221">
        <w:rPr>
          <w:rFonts w:eastAsia="Calibri"/>
          <w:b/>
          <w:i/>
          <w:lang w:eastAsia="en-US" w:bidi="ar-SA"/>
        </w:rPr>
        <w:t>with CRL’s proposals to ensure that applicants to exercise rights of audience in all courts should complete the training and assessment outlined in the consultation</w:t>
      </w:r>
      <w:r w:rsidR="00C90B5F" w:rsidRPr="007F784D">
        <w:rPr>
          <w:rFonts w:eastAsia="Calibri"/>
          <w:b/>
          <w:i/>
          <w:lang w:eastAsia="en-US" w:bidi="ar-SA"/>
        </w:rPr>
        <w:t>?</w:t>
      </w:r>
      <w:bookmarkStart w:id="4" w:name="_Hlk516477028"/>
    </w:p>
    <w:p w14:paraId="36565DEF" w14:textId="024EAA70" w:rsidR="009F6649" w:rsidRDefault="001A4A92" w:rsidP="00D16199">
      <w:pPr>
        <w:widowControl/>
        <w:autoSpaceDE/>
        <w:autoSpaceDN/>
        <w:spacing w:after="160" w:line="259" w:lineRule="auto"/>
        <w:jc w:val="both"/>
        <w:rPr>
          <w:rFonts w:eastAsia="Calibri"/>
          <w:b/>
          <w:i/>
          <w:lang w:eastAsia="en-US" w:bidi="ar-SA"/>
        </w:rPr>
      </w:pPr>
      <w:r w:rsidRPr="007F784D">
        <w:rPr>
          <w:rFonts w:eastAsia="Calibri"/>
          <w:b/>
          <w:i/>
          <w:lang w:eastAsia="en-US" w:bidi="ar-SA"/>
        </w:rPr>
        <w:tab/>
        <w:t>Yes/No?</w:t>
      </w:r>
      <w:r w:rsidR="0048507D" w:rsidRPr="007F784D">
        <w:rPr>
          <w:rFonts w:eastAsia="Calibri"/>
          <w:b/>
          <w:i/>
          <w:lang w:eastAsia="en-US" w:bidi="ar-SA"/>
        </w:rPr>
        <w:t xml:space="preserve">  </w:t>
      </w:r>
      <w:r w:rsidRPr="007F784D">
        <w:rPr>
          <w:rFonts w:eastAsia="Calibri"/>
          <w:b/>
          <w:i/>
          <w:lang w:eastAsia="en-US" w:bidi="ar-SA"/>
        </w:rPr>
        <w:t>Please provide comments</w:t>
      </w:r>
      <w:bookmarkEnd w:id="3"/>
      <w:bookmarkEnd w:id="4"/>
      <w:r w:rsidR="0048507D" w:rsidRPr="007F784D">
        <w:rPr>
          <w:rFonts w:eastAsia="Calibri"/>
          <w:b/>
          <w:i/>
          <w:lang w:eastAsia="en-US" w:bidi="ar-SA"/>
        </w:rPr>
        <w:t>:</w:t>
      </w:r>
    </w:p>
    <w:p w14:paraId="0365BF7F" w14:textId="7BFF4DE4" w:rsidR="009F6649" w:rsidRDefault="009F6649" w:rsidP="00C7542F">
      <w:pPr>
        <w:widowControl/>
        <w:autoSpaceDE/>
        <w:autoSpaceDN/>
        <w:spacing w:after="160" w:line="259" w:lineRule="auto"/>
        <w:ind w:left="720"/>
        <w:jc w:val="both"/>
        <w:rPr>
          <w:rFonts w:eastAsia="Calibri"/>
          <w:b/>
          <w:i/>
          <w:lang w:eastAsia="en-US" w:bidi="ar-SA"/>
        </w:rPr>
      </w:pPr>
      <w:r>
        <w:rPr>
          <w:rFonts w:eastAsia="Calibri"/>
          <w:b/>
          <w:i/>
          <w:lang w:eastAsia="en-US" w:bidi="ar-SA"/>
        </w:rPr>
        <w:t>Q3. Are there any additional elements of the training and assessment that you believe should be included within the proposed Higher Rights course and assessment?</w:t>
      </w:r>
    </w:p>
    <w:p w14:paraId="0C5C2562" w14:textId="4C5C3D4C" w:rsidR="009F6649" w:rsidRDefault="009F6649" w:rsidP="00C7542F">
      <w:pPr>
        <w:widowControl/>
        <w:autoSpaceDE/>
        <w:autoSpaceDN/>
        <w:spacing w:after="160" w:line="259" w:lineRule="auto"/>
        <w:ind w:left="720"/>
        <w:jc w:val="both"/>
        <w:rPr>
          <w:rFonts w:eastAsia="Calibri"/>
          <w:b/>
          <w:i/>
          <w:lang w:eastAsia="en-US" w:bidi="ar-SA"/>
        </w:rPr>
      </w:pPr>
      <w:r w:rsidRPr="007F784D">
        <w:rPr>
          <w:rFonts w:eastAsia="Calibri"/>
          <w:b/>
          <w:i/>
          <w:lang w:eastAsia="en-US" w:bidi="ar-SA"/>
        </w:rPr>
        <w:t>Yes/No?  Please provide comments:</w:t>
      </w:r>
    </w:p>
    <w:p w14:paraId="5111EB8F" w14:textId="1C60BC19" w:rsidR="000958DD" w:rsidRPr="007F784D" w:rsidRDefault="000958DD" w:rsidP="00C7542F">
      <w:pPr>
        <w:widowControl/>
        <w:autoSpaceDE/>
        <w:autoSpaceDN/>
        <w:spacing w:after="160" w:line="259" w:lineRule="auto"/>
        <w:ind w:left="720"/>
        <w:jc w:val="both"/>
        <w:rPr>
          <w:rFonts w:eastAsia="Calibri"/>
          <w:b/>
          <w:i/>
          <w:lang w:eastAsia="en-US" w:bidi="ar-SA"/>
        </w:rPr>
      </w:pPr>
      <w:r w:rsidRPr="007F784D">
        <w:rPr>
          <w:rFonts w:eastAsia="Calibri"/>
          <w:b/>
          <w:i/>
          <w:lang w:eastAsia="en-US" w:bidi="ar-SA"/>
        </w:rPr>
        <w:t>Q</w:t>
      </w:r>
      <w:r w:rsidR="009F6649">
        <w:rPr>
          <w:rFonts w:eastAsia="Calibri"/>
          <w:b/>
          <w:i/>
          <w:lang w:eastAsia="en-US" w:bidi="ar-SA"/>
        </w:rPr>
        <w:t>4</w:t>
      </w:r>
      <w:r w:rsidRPr="007F784D">
        <w:rPr>
          <w:rFonts w:eastAsia="Calibri"/>
          <w:b/>
          <w:i/>
          <w:lang w:eastAsia="en-US" w:bidi="ar-SA"/>
        </w:rPr>
        <w:t xml:space="preserve">. Do you </w:t>
      </w:r>
      <w:r w:rsidR="00E772ED">
        <w:rPr>
          <w:rFonts w:eastAsia="Calibri"/>
          <w:b/>
          <w:i/>
          <w:lang w:eastAsia="en-US" w:bidi="ar-SA"/>
        </w:rPr>
        <w:t>foresee any issues with the revised Practitioner Authorisation Rules?</w:t>
      </w:r>
    </w:p>
    <w:p w14:paraId="3786A870" w14:textId="1EED389F" w:rsidR="000958DD" w:rsidRDefault="000958DD" w:rsidP="00C7542F">
      <w:pPr>
        <w:widowControl/>
        <w:autoSpaceDE/>
        <w:autoSpaceDN/>
        <w:spacing w:after="160" w:line="259" w:lineRule="auto"/>
        <w:jc w:val="both"/>
        <w:rPr>
          <w:rFonts w:eastAsia="Calibri"/>
          <w:b/>
          <w:i/>
          <w:lang w:eastAsia="en-US" w:bidi="ar-SA"/>
        </w:rPr>
      </w:pPr>
      <w:r w:rsidRPr="007F784D">
        <w:rPr>
          <w:rFonts w:eastAsia="Calibri"/>
          <w:b/>
          <w:i/>
          <w:lang w:eastAsia="en-US" w:bidi="ar-SA"/>
        </w:rPr>
        <w:tab/>
        <w:t>Yes/No?  Please provide comments:</w:t>
      </w:r>
    </w:p>
    <w:p w14:paraId="0DA1EC81" w14:textId="16016D58" w:rsidR="00D16199" w:rsidRDefault="00D16199" w:rsidP="00D16199">
      <w:pPr>
        <w:widowControl/>
        <w:autoSpaceDE/>
        <w:autoSpaceDN/>
        <w:spacing w:after="160" w:line="259" w:lineRule="auto"/>
        <w:ind w:left="720"/>
        <w:jc w:val="both"/>
        <w:rPr>
          <w:rFonts w:eastAsia="Calibri"/>
          <w:b/>
          <w:i/>
          <w:lang w:eastAsia="en-US" w:bidi="ar-SA"/>
        </w:rPr>
      </w:pPr>
      <w:r>
        <w:rPr>
          <w:rFonts w:eastAsia="Calibri"/>
          <w:b/>
          <w:i/>
          <w:lang w:eastAsia="en-US" w:bidi="ar-SA"/>
        </w:rPr>
        <w:t>Q5. Do you agree that the application for Higher Rights of Audience should be restricted to those Chartered Legal Executives who hold both Litigation and Advocacy rights</w:t>
      </w:r>
      <w:r w:rsidR="006A2319">
        <w:rPr>
          <w:rFonts w:eastAsia="Calibri"/>
          <w:b/>
          <w:i/>
          <w:lang w:eastAsia="en-US" w:bidi="ar-SA"/>
        </w:rPr>
        <w:t xml:space="preserve"> (CILEX Practitioners)</w:t>
      </w:r>
      <w:r>
        <w:rPr>
          <w:rFonts w:eastAsia="Calibri"/>
          <w:b/>
          <w:i/>
          <w:lang w:eastAsia="en-US" w:bidi="ar-SA"/>
        </w:rPr>
        <w:t xml:space="preserve"> and that those who only hold Advocacy rights</w:t>
      </w:r>
      <w:r w:rsidR="00AC32E2">
        <w:rPr>
          <w:rFonts w:eastAsia="Calibri"/>
          <w:b/>
          <w:i/>
          <w:lang w:eastAsia="en-US" w:bidi="ar-SA"/>
        </w:rPr>
        <w:t xml:space="preserve"> (Chartered Legal Executive Advocates)</w:t>
      </w:r>
      <w:r>
        <w:rPr>
          <w:rFonts w:eastAsia="Calibri"/>
          <w:b/>
          <w:i/>
          <w:lang w:eastAsia="en-US" w:bidi="ar-SA"/>
        </w:rPr>
        <w:t xml:space="preserve"> would not be eligible to apply for Higher Rights of Audience?</w:t>
      </w:r>
    </w:p>
    <w:p w14:paraId="10E1EE21" w14:textId="77777777" w:rsidR="00D16199" w:rsidRDefault="00D16199" w:rsidP="00D16199">
      <w:pPr>
        <w:widowControl/>
        <w:autoSpaceDE/>
        <w:autoSpaceDN/>
        <w:spacing w:after="160" w:line="259" w:lineRule="auto"/>
        <w:ind w:left="720"/>
        <w:jc w:val="both"/>
        <w:rPr>
          <w:rFonts w:eastAsia="Calibri"/>
          <w:b/>
          <w:i/>
          <w:lang w:eastAsia="en-US" w:bidi="ar-SA"/>
        </w:rPr>
      </w:pPr>
      <w:r w:rsidRPr="007F784D">
        <w:rPr>
          <w:rFonts w:eastAsia="Calibri"/>
          <w:b/>
          <w:i/>
          <w:lang w:eastAsia="en-US" w:bidi="ar-SA"/>
        </w:rPr>
        <w:t>Yes/No?  Please provide comments:</w:t>
      </w:r>
    </w:p>
    <w:p w14:paraId="5D9EEC1F" w14:textId="5ACC82D5" w:rsidR="001A4A92" w:rsidRPr="007F784D" w:rsidRDefault="001A4A92" w:rsidP="00C7542F">
      <w:pPr>
        <w:widowControl/>
        <w:autoSpaceDE/>
        <w:autoSpaceDN/>
        <w:spacing w:after="160" w:line="259" w:lineRule="auto"/>
        <w:ind w:left="720"/>
        <w:jc w:val="both"/>
        <w:rPr>
          <w:rFonts w:eastAsia="Calibri"/>
          <w:b/>
          <w:i/>
          <w:lang w:eastAsia="en-US" w:bidi="ar-SA"/>
        </w:rPr>
      </w:pPr>
      <w:bookmarkStart w:id="5" w:name="_Hlk36545302"/>
      <w:r w:rsidRPr="007F784D">
        <w:rPr>
          <w:rFonts w:eastAsia="Calibri"/>
          <w:b/>
          <w:i/>
          <w:lang w:eastAsia="en-US" w:bidi="ar-SA"/>
        </w:rPr>
        <w:t>Q</w:t>
      </w:r>
      <w:r w:rsidR="009F6649">
        <w:rPr>
          <w:rFonts w:eastAsia="Calibri"/>
          <w:b/>
          <w:i/>
          <w:lang w:eastAsia="en-US" w:bidi="ar-SA"/>
        </w:rPr>
        <w:t>5</w:t>
      </w:r>
      <w:r w:rsidRPr="007F784D">
        <w:rPr>
          <w:rFonts w:eastAsia="Calibri"/>
          <w:b/>
          <w:i/>
          <w:lang w:eastAsia="en-US" w:bidi="ar-SA"/>
        </w:rPr>
        <w:t xml:space="preserve">. </w:t>
      </w:r>
      <w:r w:rsidR="00AE6271" w:rsidRPr="007F784D">
        <w:rPr>
          <w:rFonts w:eastAsia="Calibri"/>
          <w:b/>
          <w:i/>
          <w:lang w:eastAsia="en-US" w:bidi="ar-SA"/>
        </w:rPr>
        <w:t xml:space="preserve">Do you </w:t>
      </w:r>
      <w:r w:rsidR="00E772ED">
        <w:rPr>
          <w:rFonts w:eastAsia="Calibri"/>
          <w:b/>
          <w:i/>
          <w:lang w:eastAsia="en-US" w:bidi="ar-SA"/>
        </w:rPr>
        <w:t>have any other comments</w:t>
      </w:r>
      <w:r w:rsidR="00AE6271" w:rsidRPr="007F784D">
        <w:rPr>
          <w:rFonts w:eastAsia="Calibri"/>
          <w:b/>
          <w:i/>
          <w:lang w:eastAsia="en-US" w:bidi="ar-SA"/>
        </w:rPr>
        <w:t>?</w:t>
      </w:r>
    </w:p>
    <w:p w14:paraId="6A1BBB04" w14:textId="2DE58481" w:rsidR="0048507D" w:rsidRDefault="00AE6271" w:rsidP="00C7542F">
      <w:pPr>
        <w:widowControl/>
        <w:autoSpaceDE/>
        <w:autoSpaceDN/>
        <w:spacing w:after="160" w:line="259" w:lineRule="auto"/>
        <w:ind w:left="720"/>
        <w:jc w:val="both"/>
        <w:rPr>
          <w:rFonts w:eastAsia="Calibri"/>
          <w:b/>
          <w:i/>
          <w:lang w:eastAsia="en-US" w:bidi="ar-SA"/>
        </w:rPr>
      </w:pPr>
      <w:r w:rsidRPr="007F784D">
        <w:rPr>
          <w:rFonts w:eastAsia="Calibri"/>
          <w:b/>
          <w:i/>
          <w:lang w:eastAsia="en-US" w:bidi="ar-SA"/>
        </w:rPr>
        <w:t>Yes/No?  Please provide comments:</w:t>
      </w:r>
    </w:p>
    <w:bookmarkEnd w:id="5"/>
    <w:p w14:paraId="6E83E21F" w14:textId="77777777" w:rsidR="000175D8" w:rsidRPr="007F784D" w:rsidRDefault="000175D8" w:rsidP="00C7542F">
      <w:pPr>
        <w:widowControl/>
        <w:autoSpaceDE/>
        <w:autoSpaceDN/>
        <w:spacing w:after="160" w:line="259" w:lineRule="auto"/>
        <w:jc w:val="both"/>
        <w:rPr>
          <w:rFonts w:eastAsia="Calibri"/>
          <w:lang w:eastAsia="en-US" w:bidi="ar-SA"/>
        </w:rPr>
      </w:pPr>
      <w:r w:rsidRPr="007F784D">
        <w:rPr>
          <w:rFonts w:eastAsia="Calibri"/>
          <w:b/>
          <w:lang w:eastAsia="en-US" w:bidi="ar-SA"/>
        </w:rPr>
        <w:t xml:space="preserve">How to respond  </w:t>
      </w:r>
    </w:p>
    <w:p w14:paraId="1CB9FA7C" w14:textId="63BD736A" w:rsidR="00E34403" w:rsidRPr="007F784D" w:rsidRDefault="00E34403" w:rsidP="00C7542F">
      <w:pPr>
        <w:jc w:val="both"/>
        <w:rPr>
          <w:rFonts w:eastAsiaTheme="minorHAnsi"/>
          <w:lang w:bidi="ar-SA"/>
        </w:rPr>
      </w:pPr>
      <w:r w:rsidRPr="007F784D">
        <w:t xml:space="preserve">Please send your response to CILEx Regulation by email to </w:t>
      </w:r>
      <w:hyperlink r:id="rId14" w:history="1">
        <w:r w:rsidRPr="007F784D">
          <w:rPr>
            <w:rStyle w:val="Hyperlink"/>
          </w:rPr>
          <w:t>consultations@cilexregulation.org.uk</w:t>
        </w:r>
      </w:hyperlink>
      <w:r w:rsidRPr="007F784D">
        <w:t xml:space="preserve">. Please mark it for the attention of </w:t>
      </w:r>
      <w:r w:rsidR="0090206F">
        <w:t>Vicky Purtill</w:t>
      </w:r>
      <w:r w:rsidRPr="007F784D">
        <w:t>.</w:t>
      </w:r>
    </w:p>
    <w:p w14:paraId="25CB235E" w14:textId="77777777" w:rsidR="00E34403" w:rsidRDefault="00E34403" w:rsidP="00C7542F">
      <w:pPr>
        <w:pStyle w:val="Heading2"/>
        <w:spacing w:before="0" w:after="0" w:line="240" w:lineRule="auto"/>
        <w:ind w:left="780"/>
        <w:jc w:val="both"/>
        <w:rPr>
          <w:rFonts w:ascii="Arial" w:eastAsia="Times New Roman" w:hAnsi="Arial" w:cs="Arial"/>
          <w:sz w:val="22"/>
          <w:szCs w:val="22"/>
        </w:rPr>
      </w:pPr>
    </w:p>
    <w:p w14:paraId="01233318" w14:textId="77777777" w:rsidR="00C7542F" w:rsidRPr="007F784D" w:rsidRDefault="00C7542F" w:rsidP="00C7542F">
      <w:pPr>
        <w:pStyle w:val="Heading2"/>
        <w:spacing w:before="0" w:after="0" w:line="240" w:lineRule="auto"/>
        <w:ind w:left="780"/>
        <w:jc w:val="both"/>
        <w:rPr>
          <w:rFonts w:ascii="Arial" w:eastAsia="Times New Roman" w:hAnsi="Arial" w:cs="Arial"/>
          <w:sz w:val="22"/>
          <w:szCs w:val="22"/>
        </w:rPr>
      </w:pPr>
    </w:p>
    <w:p w14:paraId="19375AE2" w14:textId="44E78C5D" w:rsidR="0012629F" w:rsidRPr="007F784D" w:rsidRDefault="000175D8" w:rsidP="00C7542F">
      <w:pPr>
        <w:widowControl/>
        <w:autoSpaceDE/>
        <w:autoSpaceDN/>
        <w:spacing w:after="160" w:line="259" w:lineRule="auto"/>
        <w:jc w:val="both"/>
        <w:rPr>
          <w:rFonts w:eastAsia="Calibri"/>
          <w:b/>
          <w:lang w:eastAsia="en-US" w:bidi="ar-SA"/>
        </w:rPr>
      </w:pPr>
      <w:r w:rsidRPr="007F784D">
        <w:rPr>
          <w:rFonts w:eastAsia="Calibri"/>
          <w:b/>
          <w:lang w:eastAsia="en-US" w:bidi="ar-SA"/>
        </w:rPr>
        <w:t xml:space="preserve">Submission deadline </w:t>
      </w:r>
    </w:p>
    <w:p w14:paraId="17F3C3AC" w14:textId="72DD5270" w:rsidR="000175D8" w:rsidRPr="007F784D" w:rsidRDefault="000175D8" w:rsidP="00C7542F">
      <w:pPr>
        <w:widowControl/>
        <w:autoSpaceDE/>
        <w:autoSpaceDN/>
        <w:spacing w:after="160" w:line="259" w:lineRule="auto"/>
        <w:jc w:val="both"/>
        <w:rPr>
          <w:rFonts w:eastAsia="Calibri"/>
          <w:b/>
          <w:lang w:eastAsia="en-US" w:bidi="ar-SA"/>
        </w:rPr>
      </w:pPr>
      <w:r w:rsidRPr="007F784D">
        <w:rPr>
          <w:rFonts w:eastAsia="Calibri"/>
          <w:lang w:eastAsia="en-US" w:bidi="ar-SA"/>
        </w:rPr>
        <w:t xml:space="preserve">Please respond by </w:t>
      </w:r>
      <w:r w:rsidR="008340D6" w:rsidRPr="007F784D">
        <w:rPr>
          <w:rFonts w:eastAsia="Calibri"/>
          <w:b/>
          <w:bCs/>
          <w:lang w:eastAsia="en-US" w:bidi="ar-SA"/>
        </w:rPr>
        <w:t>4</w:t>
      </w:r>
      <w:r w:rsidRPr="007F784D">
        <w:rPr>
          <w:rFonts w:eastAsia="Calibri"/>
          <w:b/>
          <w:bCs/>
          <w:lang w:eastAsia="en-US" w:bidi="ar-SA"/>
        </w:rPr>
        <w:t xml:space="preserve">pm on </w:t>
      </w:r>
      <w:r w:rsidR="00AC32E2">
        <w:rPr>
          <w:rFonts w:eastAsia="Calibri"/>
          <w:b/>
          <w:bCs/>
          <w:lang w:eastAsia="en-US" w:bidi="ar-SA"/>
        </w:rPr>
        <w:t>3</w:t>
      </w:r>
      <w:r w:rsidR="00E772ED">
        <w:rPr>
          <w:rFonts w:eastAsia="Calibri"/>
          <w:b/>
          <w:bCs/>
          <w:lang w:eastAsia="en-US" w:bidi="ar-SA"/>
        </w:rPr>
        <w:t xml:space="preserve"> January 2023</w:t>
      </w:r>
      <w:r w:rsidR="006319AF">
        <w:rPr>
          <w:rFonts w:eastAsia="Calibri"/>
          <w:b/>
          <w:bCs/>
          <w:lang w:eastAsia="en-US" w:bidi="ar-SA"/>
        </w:rPr>
        <w:t>.</w:t>
      </w:r>
      <w:r w:rsidRPr="007F784D">
        <w:rPr>
          <w:rFonts w:eastAsia="Calibri"/>
          <w:lang w:eastAsia="en-US" w:bidi="ar-SA"/>
        </w:rPr>
        <w:t xml:space="preserve"> </w:t>
      </w:r>
    </w:p>
    <w:p w14:paraId="1B441D76" w14:textId="4F128395" w:rsidR="007216E4" w:rsidRDefault="007216E4">
      <w:r>
        <w:br w:type="page"/>
      </w:r>
    </w:p>
    <w:p w14:paraId="144EDCCC" w14:textId="64A9F2EF" w:rsidR="00B06F7F" w:rsidRDefault="007216E4" w:rsidP="00C7542F">
      <w:pPr>
        <w:jc w:val="both"/>
        <w:rPr>
          <w:b/>
          <w:bCs/>
        </w:rPr>
      </w:pPr>
      <w:r>
        <w:rPr>
          <w:b/>
          <w:bCs/>
        </w:rPr>
        <w:lastRenderedPageBreak/>
        <w:t>Appendix</w:t>
      </w:r>
      <w:r w:rsidR="009F6649">
        <w:rPr>
          <w:b/>
          <w:bCs/>
        </w:rPr>
        <w:t xml:space="preserve"> 1</w:t>
      </w:r>
    </w:p>
    <w:p w14:paraId="6519F3AD" w14:textId="2FA62118" w:rsidR="007216E4" w:rsidRDefault="007216E4" w:rsidP="00C7542F">
      <w:pPr>
        <w:jc w:val="both"/>
        <w:rPr>
          <w:b/>
          <w:bCs/>
        </w:rPr>
      </w:pPr>
    </w:p>
    <w:p w14:paraId="0EDD5DBF" w14:textId="77777777" w:rsidR="007216E4" w:rsidRPr="00B31141" w:rsidRDefault="007216E4" w:rsidP="007216E4">
      <w:pPr>
        <w:widowControl/>
        <w:autoSpaceDE/>
        <w:autoSpaceDN/>
        <w:spacing w:after="160" w:line="259" w:lineRule="auto"/>
        <w:contextualSpacing/>
        <w:jc w:val="both"/>
        <w:rPr>
          <w:b/>
          <w:bCs/>
          <w:i/>
          <w:iCs/>
        </w:rPr>
      </w:pPr>
      <w:r w:rsidRPr="00B31141">
        <w:rPr>
          <w:b/>
          <w:bCs/>
          <w:i/>
          <w:iCs/>
        </w:rPr>
        <w:t>Summary of survey outcomes</w:t>
      </w:r>
    </w:p>
    <w:p w14:paraId="5D62248D" w14:textId="77777777" w:rsidR="007216E4" w:rsidRDefault="007216E4" w:rsidP="007216E4">
      <w:pPr>
        <w:widowControl/>
        <w:autoSpaceDE/>
        <w:autoSpaceDN/>
        <w:spacing w:after="160" w:line="259" w:lineRule="auto"/>
        <w:contextualSpacing/>
        <w:jc w:val="both"/>
        <w:rPr>
          <w:i/>
          <w:iCs/>
        </w:rPr>
      </w:pPr>
    </w:p>
    <w:p w14:paraId="19212FF5" w14:textId="77777777" w:rsidR="007216E4" w:rsidRDefault="007216E4" w:rsidP="007216E4">
      <w:pPr>
        <w:pStyle w:val="ListParagraph"/>
        <w:widowControl/>
        <w:numPr>
          <w:ilvl w:val="0"/>
          <w:numId w:val="26"/>
        </w:numPr>
        <w:autoSpaceDE/>
        <w:autoSpaceDN/>
        <w:spacing w:after="160" w:line="259" w:lineRule="auto"/>
        <w:contextualSpacing/>
        <w:jc w:val="both"/>
      </w:pPr>
      <w:r>
        <w:t>CRL received a total of 549 responses to the survey of which 458 were chartered legal executives, 18 were CILEX Practitioners and 73 were CILEX Advocates.</w:t>
      </w:r>
    </w:p>
    <w:p w14:paraId="293991B6" w14:textId="77777777" w:rsidR="007216E4" w:rsidRDefault="007216E4" w:rsidP="007216E4">
      <w:pPr>
        <w:pStyle w:val="ListParagraph"/>
        <w:widowControl/>
        <w:autoSpaceDE/>
        <w:autoSpaceDN/>
        <w:spacing w:after="160" w:line="259" w:lineRule="auto"/>
        <w:ind w:left="720"/>
        <w:contextualSpacing/>
        <w:jc w:val="both"/>
      </w:pPr>
    </w:p>
    <w:p w14:paraId="2097C671" w14:textId="77777777" w:rsidR="007216E4" w:rsidRDefault="007216E4" w:rsidP="007216E4">
      <w:pPr>
        <w:pStyle w:val="ListParagraph"/>
        <w:widowControl/>
        <w:numPr>
          <w:ilvl w:val="0"/>
          <w:numId w:val="26"/>
        </w:numPr>
        <w:autoSpaceDE/>
        <w:autoSpaceDN/>
        <w:spacing w:after="160" w:line="259" w:lineRule="auto"/>
        <w:contextualSpacing/>
        <w:jc w:val="both"/>
      </w:pPr>
      <w:r>
        <w:t>Of the 549 respondents 72 worked in criminal litigation, 230 worked in civil litigation and 78 worked in family litigation.</w:t>
      </w:r>
    </w:p>
    <w:p w14:paraId="79A48FED" w14:textId="77777777" w:rsidR="007216E4" w:rsidRDefault="007216E4" w:rsidP="007216E4">
      <w:pPr>
        <w:pStyle w:val="ListParagraph"/>
      </w:pPr>
    </w:p>
    <w:p w14:paraId="39325DC0" w14:textId="77777777" w:rsidR="007216E4" w:rsidRDefault="007216E4" w:rsidP="007216E4">
      <w:pPr>
        <w:pStyle w:val="ListParagraph"/>
        <w:widowControl/>
        <w:numPr>
          <w:ilvl w:val="0"/>
          <w:numId w:val="26"/>
        </w:numPr>
        <w:autoSpaceDE/>
        <w:autoSpaceDN/>
        <w:spacing w:after="160" w:line="259" w:lineRule="auto"/>
        <w:contextualSpacing/>
        <w:jc w:val="both"/>
      </w:pPr>
      <w:r>
        <w:t>98% (482) respondents were in favour of CRL progressing with an application to enable it to authorise suitably competent CILEX Practitioners for Higher Rights of Audience.</w:t>
      </w:r>
    </w:p>
    <w:p w14:paraId="5C4362E5" w14:textId="77777777" w:rsidR="007216E4" w:rsidRDefault="007216E4" w:rsidP="007216E4">
      <w:pPr>
        <w:pStyle w:val="ListParagraph"/>
      </w:pPr>
    </w:p>
    <w:p w14:paraId="2035C45C" w14:textId="77777777" w:rsidR="007216E4" w:rsidRPr="00B31141" w:rsidRDefault="007216E4" w:rsidP="007216E4">
      <w:pPr>
        <w:widowControl/>
        <w:autoSpaceDE/>
        <w:autoSpaceDN/>
        <w:spacing w:after="160" w:line="259" w:lineRule="auto"/>
        <w:contextualSpacing/>
        <w:jc w:val="both"/>
        <w:rPr>
          <w:b/>
          <w:bCs/>
          <w:i/>
          <w:iCs/>
        </w:rPr>
      </w:pPr>
      <w:r w:rsidRPr="00B31141">
        <w:rPr>
          <w:b/>
          <w:bCs/>
          <w:i/>
          <w:iCs/>
        </w:rPr>
        <w:t>Diversity data from respondents</w:t>
      </w:r>
    </w:p>
    <w:p w14:paraId="49BAB6BE" w14:textId="77777777" w:rsidR="007216E4" w:rsidRPr="00B31141" w:rsidRDefault="007216E4" w:rsidP="007216E4">
      <w:pPr>
        <w:widowControl/>
        <w:autoSpaceDE/>
        <w:autoSpaceDN/>
        <w:spacing w:after="160" w:line="259" w:lineRule="auto"/>
        <w:contextualSpacing/>
        <w:jc w:val="both"/>
        <w:rPr>
          <w:b/>
          <w:bCs/>
          <w:i/>
          <w:iCs/>
        </w:rPr>
      </w:pPr>
    </w:p>
    <w:p w14:paraId="1B016F24" w14:textId="77777777" w:rsidR="007216E4" w:rsidRDefault="007216E4" w:rsidP="007216E4">
      <w:pPr>
        <w:widowControl/>
        <w:autoSpaceDE/>
        <w:autoSpaceDN/>
        <w:spacing w:after="160" w:line="259" w:lineRule="auto"/>
        <w:contextualSpacing/>
        <w:jc w:val="both"/>
      </w:pPr>
      <w:r>
        <w:rPr>
          <w:i/>
          <w:iCs/>
        </w:rPr>
        <w:t>Age</w:t>
      </w:r>
    </w:p>
    <w:p w14:paraId="211182EF" w14:textId="77777777" w:rsidR="007216E4" w:rsidRDefault="007216E4" w:rsidP="007216E4">
      <w:pPr>
        <w:pStyle w:val="ListParagraph"/>
        <w:widowControl/>
        <w:numPr>
          <w:ilvl w:val="0"/>
          <w:numId w:val="26"/>
        </w:numPr>
        <w:autoSpaceDE/>
        <w:autoSpaceDN/>
        <w:spacing w:after="160" w:line="259" w:lineRule="auto"/>
        <w:contextualSpacing/>
        <w:jc w:val="both"/>
      </w:pPr>
      <w:proofErr w:type="gramStart"/>
      <w:r>
        <w:t>The majority of</w:t>
      </w:r>
      <w:proofErr w:type="gramEnd"/>
      <w:r>
        <w:t xml:space="preserve"> respondents were aged between 25-54, with 24% aged 25-34, 32% aged 35-44 and 25% aged 45-54. This compares with the age groups with the highest number or CILEX members are consistently age groups 25-34 (29.6%), 35-44 (27.2%), and 45-54 (20.4%), and in that order.</w:t>
      </w:r>
    </w:p>
    <w:p w14:paraId="37D8CFE9" w14:textId="77777777" w:rsidR="007216E4" w:rsidRDefault="007216E4" w:rsidP="007216E4">
      <w:pPr>
        <w:widowControl/>
        <w:autoSpaceDE/>
        <w:autoSpaceDN/>
        <w:spacing w:after="160" w:line="259" w:lineRule="auto"/>
        <w:contextualSpacing/>
        <w:jc w:val="both"/>
        <w:rPr>
          <w:i/>
          <w:iCs/>
        </w:rPr>
      </w:pPr>
      <w:r>
        <w:rPr>
          <w:i/>
          <w:iCs/>
        </w:rPr>
        <w:t>Gender</w:t>
      </w:r>
    </w:p>
    <w:p w14:paraId="13ACE342" w14:textId="77777777" w:rsidR="007216E4" w:rsidRDefault="007216E4" w:rsidP="007216E4">
      <w:pPr>
        <w:widowControl/>
        <w:autoSpaceDE/>
        <w:autoSpaceDN/>
        <w:spacing w:after="160" w:line="259" w:lineRule="auto"/>
        <w:contextualSpacing/>
        <w:jc w:val="both"/>
        <w:rPr>
          <w:i/>
          <w:iCs/>
        </w:rPr>
      </w:pPr>
    </w:p>
    <w:p w14:paraId="6A9704A2" w14:textId="77777777" w:rsidR="007216E4" w:rsidRDefault="007216E4" w:rsidP="007216E4">
      <w:pPr>
        <w:pStyle w:val="ListParagraph"/>
        <w:widowControl/>
        <w:numPr>
          <w:ilvl w:val="0"/>
          <w:numId w:val="26"/>
        </w:numPr>
        <w:autoSpaceDE/>
        <w:autoSpaceDN/>
        <w:spacing w:after="160" w:line="259" w:lineRule="auto"/>
        <w:contextualSpacing/>
        <w:jc w:val="both"/>
      </w:pPr>
      <w:r>
        <w:t xml:space="preserve">The male to female ratio of respondents was 29:69 with a small number of individuals identifying as other or prefer not to say. This compares with a male to female ratio of 22:79 for CILEX </w:t>
      </w:r>
      <w:proofErr w:type="gramStart"/>
      <w:r>
        <w:t>members as a whole</w:t>
      </w:r>
      <w:proofErr w:type="gramEnd"/>
      <w:r>
        <w:t>.</w:t>
      </w:r>
    </w:p>
    <w:p w14:paraId="3E99BAC1" w14:textId="77777777" w:rsidR="007216E4" w:rsidRDefault="007216E4" w:rsidP="007216E4">
      <w:pPr>
        <w:widowControl/>
        <w:autoSpaceDE/>
        <w:autoSpaceDN/>
        <w:spacing w:after="160" w:line="259" w:lineRule="auto"/>
        <w:contextualSpacing/>
        <w:jc w:val="both"/>
        <w:rPr>
          <w:i/>
          <w:iCs/>
        </w:rPr>
      </w:pPr>
      <w:r>
        <w:rPr>
          <w:i/>
          <w:iCs/>
        </w:rPr>
        <w:t>Ethnicity</w:t>
      </w:r>
    </w:p>
    <w:p w14:paraId="2A9E5A47" w14:textId="77777777" w:rsidR="007216E4" w:rsidRDefault="007216E4" w:rsidP="007216E4">
      <w:pPr>
        <w:widowControl/>
        <w:autoSpaceDE/>
        <w:autoSpaceDN/>
        <w:spacing w:after="160" w:line="259" w:lineRule="auto"/>
        <w:contextualSpacing/>
        <w:jc w:val="both"/>
        <w:rPr>
          <w:i/>
          <w:iCs/>
        </w:rPr>
      </w:pPr>
    </w:p>
    <w:tbl>
      <w:tblPr>
        <w:tblStyle w:val="TableGrid"/>
        <w:tblW w:w="0" w:type="auto"/>
        <w:tblLook w:val="04A0" w:firstRow="1" w:lastRow="0" w:firstColumn="1" w:lastColumn="0" w:noHBand="0" w:noVBand="1"/>
      </w:tblPr>
      <w:tblGrid>
        <w:gridCol w:w="2678"/>
        <w:gridCol w:w="2963"/>
        <w:gridCol w:w="2114"/>
        <w:gridCol w:w="2443"/>
      </w:tblGrid>
      <w:tr w:rsidR="007216E4" w14:paraId="1AC78BDE" w14:textId="77777777" w:rsidTr="002C58A2">
        <w:tc>
          <w:tcPr>
            <w:tcW w:w="2678" w:type="dxa"/>
          </w:tcPr>
          <w:p w14:paraId="17FA194E" w14:textId="77777777" w:rsidR="007216E4" w:rsidRPr="003D2115" w:rsidRDefault="007216E4" w:rsidP="002C58A2">
            <w:pPr>
              <w:widowControl/>
              <w:autoSpaceDE/>
              <w:autoSpaceDN/>
              <w:spacing w:after="160" w:line="259" w:lineRule="auto"/>
              <w:contextualSpacing/>
              <w:jc w:val="both"/>
              <w:rPr>
                <w:b/>
                <w:bCs/>
              </w:rPr>
            </w:pPr>
            <w:r w:rsidRPr="003D2115">
              <w:rPr>
                <w:b/>
                <w:bCs/>
              </w:rPr>
              <w:t>Ethnicity</w:t>
            </w:r>
          </w:p>
        </w:tc>
        <w:tc>
          <w:tcPr>
            <w:tcW w:w="2963" w:type="dxa"/>
          </w:tcPr>
          <w:p w14:paraId="70A9920F" w14:textId="77777777" w:rsidR="007216E4" w:rsidRPr="003D2115" w:rsidRDefault="007216E4" w:rsidP="002C58A2">
            <w:pPr>
              <w:widowControl/>
              <w:autoSpaceDE/>
              <w:autoSpaceDN/>
              <w:spacing w:after="160" w:line="259" w:lineRule="auto"/>
              <w:contextualSpacing/>
              <w:jc w:val="both"/>
              <w:rPr>
                <w:b/>
                <w:bCs/>
              </w:rPr>
            </w:pPr>
            <w:r w:rsidRPr="003D2115">
              <w:rPr>
                <w:b/>
                <w:bCs/>
              </w:rPr>
              <w:t>% Respondents</w:t>
            </w:r>
          </w:p>
        </w:tc>
        <w:tc>
          <w:tcPr>
            <w:tcW w:w="2114" w:type="dxa"/>
          </w:tcPr>
          <w:p w14:paraId="345549A7" w14:textId="14E4D8D0" w:rsidR="007216E4" w:rsidRDefault="00CD29AD" w:rsidP="002C58A2">
            <w:pPr>
              <w:widowControl/>
              <w:autoSpaceDE/>
              <w:autoSpaceDN/>
              <w:spacing w:after="160" w:line="259" w:lineRule="auto"/>
              <w:contextualSpacing/>
              <w:rPr>
                <w:b/>
                <w:bCs/>
              </w:rPr>
            </w:pPr>
            <w:r>
              <w:rPr>
                <w:b/>
                <w:bCs/>
              </w:rPr>
              <w:t>%</w:t>
            </w:r>
            <w:r w:rsidR="00B12A61">
              <w:rPr>
                <w:b/>
                <w:bCs/>
              </w:rPr>
              <w:t xml:space="preserve"> </w:t>
            </w:r>
            <w:r w:rsidR="007216E4">
              <w:rPr>
                <w:b/>
                <w:bCs/>
              </w:rPr>
              <w:t>CILEX Practitioners (Litigation and Advocacy rights)</w:t>
            </w:r>
          </w:p>
        </w:tc>
        <w:tc>
          <w:tcPr>
            <w:tcW w:w="2443" w:type="dxa"/>
          </w:tcPr>
          <w:p w14:paraId="46F75D6A" w14:textId="77777777" w:rsidR="007216E4" w:rsidRPr="003D2115" w:rsidRDefault="007216E4" w:rsidP="002C58A2">
            <w:pPr>
              <w:widowControl/>
              <w:autoSpaceDE/>
              <w:autoSpaceDN/>
              <w:spacing w:after="160" w:line="259" w:lineRule="auto"/>
              <w:contextualSpacing/>
              <w:jc w:val="both"/>
              <w:rPr>
                <w:b/>
                <w:bCs/>
              </w:rPr>
            </w:pPr>
            <w:r>
              <w:rPr>
                <w:b/>
                <w:bCs/>
              </w:rPr>
              <w:t>% CILEX members as a whole</w:t>
            </w:r>
          </w:p>
        </w:tc>
      </w:tr>
      <w:tr w:rsidR="007216E4" w14:paraId="043E816A" w14:textId="77777777" w:rsidTr="002C58A2">
        <w:tc>
          <w:tcPr>
            <w:tcW w:w="2678" w:type="dxa"/>
          </w:tcPr>
          <w:p w14:paraId="744D8DC0" w14:textId="77777777" w:rsidR="007216E4" w:rsidRDefault="007216E4" w:rsidP="002C58A2">
            <w:pPr>
              <w:widowControl/>
              <w:autoSpaceDE/>
              <w:autoSpaceDN/>
              <w:spacing w:after="160" w:line="259" w:lineRule="auto"/>
              <w:contextualSpacing/>
              <w:jc w:val="both"/>
            </w:pPr>
            <w:r>
              <w:t>Asian</w:t>
            </w:r>
          </w:p>
        </w:tc>
        <w:tc>
          <w:tcPr>
            <w:tcW w:w="2963" w:type="dxa"/>
          </w:tcPr>
          <w:p w14:paraId="5E43F13D" w14:textId="77777777" w:rsidR="007216E4" w:rsidRDefault="007216E4" w:rsidP="002C58A2">
            <w:pPr>
              <w:widowControl/>
              <w:autoSpaceDE/>
              <w:autoSpaceDN/>
              <w:spacing w:after="160" w:line="259" w:lineRule="auto"/>
              <w:contextualSpacing/>
              <w:jc w:val="both"/>
            </w:pPr>
            <w:r>
              <w:t>6</w:t>
            </w:r>
          </w:p>
        </w:tc>
        <w:tc>
          <w:tcPr>
            <w:tcW w:w="2114" w:type="dxa"/>
          </w:tcPr>
          <w:p w14:paraId="6F8A9FFA" w14:textId="77777777" w:rsidR="007216E4" w:rsidRDefault="007216E4" w:rsidP="002C58A2">
            <w:pPr>
              <w:widowControl/>
              <w:autoSpaceDE/>
              <w:autoSpaceDN/>
              <w:spacing w:after="160" w:line="259" w:lineRule="auto"/>
              <w:contextualSpacing/>
              <w:jc w:val="both"/>
            </w:pPr>
            <w:r>
              <w:t>6</w:t>
            </w:r>
          </w:p>
        </w:tc>
        <w:tc>
          <w:tcPr>
            <w:tcW w:w="2443" w:type="dxa"/>
          </w:tcPr>
          <w:p w14:paraId="34282C76" w14:textId="77777777" w:rsidR="007216E4" w:rsidRDefault="007216E4" w:rsidP="002C58A2">
            <w:pPr>
              <w:widowControl/>
              <w:autoSpaceDE/>
              <w:autoSpaceDN/>
              <w:spacing w:after="160" w:line="259" w:lineRule="auto"/>
              <w:contextualSpacing/>
              <w:jc w:val="both"/>
            </w:pPr>
            <w:r>
              <w:t>7</w:t>
            </w:r>
          </w:p>
        </w:tc>
      </w:tr>
      <w:tr w:rsidR="007216E4" w14:paraId="596D8673" w14:textId="77777777" w:rsidTr="002C58A2">
        <w:tc>
          <w:tcPr>
            <w:tcW w:w="2678" w:type="dxa"/>
          </w:tcPr>
          <w:p w14:paraId="6CF76B1D" w14:textId="77777777" w:rsidR="007216E4" w:rsidRDefault="007216E4" w:rsidP="002C58A2">
            <w:pPr>
              <w:widowControl/>
              <w:autoSpaceDE/>
              <w:autoSpaceDN/>
              <w:spacing w:after="160" w:line="259" w:lineRule="auto"/>
              <w:contextualSpacing/>
              <w:jc w:val="both"/>
            </w:pPr>
            <w:r>
              <w:t>Black</w:t>
            </w:r>
          </w:p>
        </w:tc>
        <w:tc>
          <w:tcPr>
            <w:tcW w:w="2963" w:type="dxa"/>
          </w:tcPr>
          <w:p w14:paraId="6AD52CCC" w14:textId="77777777" w:rsidR="007216E4" w:rsidRDefault="007216E4" w:rsidP="002C58A2">
            <w:pPr>
              <w:widowControl/>
              <w:autoSpaceDE/>
              <w:autoSpaceDN/>
              <w:spacing w:after="160" w:line="259" w:lineRule="auto"/>
              <w:contextualSpacing/>
              <w:jc w:val="both"/>
            </w:pPr>
            <w:r>
              <w:t>4</w:t>
            </w:r>
          </w:p>
        </w:tc>
        <w:tc>
          <w:tcPr>
            <w:tcW w:w="2114" w:type="dxa"/>
          </w:tcPr>
          <w:p w14:paraId="0F24724B" w14:textId="77777777" w:rsidR="007216E4" w:rsidRDefault="007216E4" w:rsidP="002C58A2">
            <w:pPr>
              <w:widowControl/>
              <w:autoSpaceDE/>
              <w:autoSpaceDN/>
              <w:spacing w:after="160" w:line="259" w:lineRule="auto"/>
              <w:contextualSpacing/>
              <w:jc w:val="both"/>
            </w:pPr>
            <w:r>
              <w:t>4</w:t>
            </w:r>
          </w:p>
        </w:tc>
        <w:tc>
          <w:tcPr>
            <w:tcW w:w="2443" w:type="dxa"/>
          </w:tcPr>
          <w:p w14:paraId="0441552E" w14:textId="77777777" w:rsidR="007216E4" w:rsidRDefault="007216E4" w:rsidP="002C58A2">
            <w:pPr>
              <w:widowControl/>
              <w:autoSpaceDE/>
              <w:autoSpaceDN/>
              <w:spacing w:after="160" w:line="259" w:lineRule="auto"/>
              <w:contextualSpacing/>
              <w:jc w:val="both"/>
            </w:pPr>
            <w:r>
              <w:t>5.5</w:t>
            </w:r>
          </w:p>
        </w:tc>
      </w:tr>
      <w:tr w:rsidR="007216E4" w14:paraId="2A0B88C1" w14:textId="77777777" w:rsidTr="002C58A2">
        <w:tc>
          <w:tcPr>
            <w:tcW w:w="2678" w:type="dxa"/>
          </w:tcPr>
          <w:p w14:paraId="59CBC138" w14:textId="77777777" w:rsidR="007216E4" w:rsidRDefault="007216E4" w:rsidP="002C58A2">
            <w:pPr>
              <w:widowControl/>
              <w:autoSpaceDE/>
              <w:autoSpaceDN/>
              <w:spacing w:after="160" w:line="259" w:lineRule="auto"/>
              <w:contextualSpacing/>
              <w:jc w:val="both"/>
            </w:pPr>
            <w:r>
              <w:t>Mixed</w:t>
            </w:r>
          </w:p>
        </w:tc>
        <w:tc>
          <w:tcPr>
            <w:tcW w:w="2963" w:type="dxa"/>
          </w:tcPr>
          <w:p w14:paraId="78C05A35" w14:textId="77777777" w:rsidR="007216E4" w:rsidRDefault="007216E4" w:rsidP="002C58A2">
            <w:pPr>
              <w:widowControl/>
              <w:autoSpaceDE/>
              <w:autoSpaceDN/>
              <w:spacing w:after="160" w:line="259" w:lineRule="auto"/>
              <w:contextualSpacing/>
              <w:jc w:val="both"/>
            </w:pPr>
            <w:r>
              <w:t>2</w:t>
            </w:r>
          </w:p>
        </w:tc>
        <w:tc>
          <w:tcPr>
            <w:tcW w:w="2114" w:type="dxa"/>
          </w:tcPr>
          <w:p w14:paraId="06518D6E" w14:textId="77777777" w:rsidR="007216E4" w:rsidRDefault="007216E4" w:rsidP="002C58A2">
            <w:pPr>
              <w:widowControl/>
              <w:autoSpaceDE/>
              <w:autoSpaceDN/>
              <w:spacing w:after="160" w:line="259" w:lineRule="auto"/>
              <w:contextualSpacing/>
              <w:jc w:val="both"/>
            </w:pPr>
            <w:r>
              <w:t>Not recorded</w:t>
            </w:r>
          </w:p>
        </w:tc>
        <w:tc>
          <w:tcPr>
            <w:tcW w:w="2443" w:type="dxa"/>
          </w:tcPr>
          <w:p w14:paraId="01AB7747" w14:textId="77777777" w:rsidR="007216E4" w:rsidRDefault="007216E4" w:rsidP="002C58A2">
            <w:pPr>
              <w:widowControl/>
              <w:autoSpaceDE/>
              <w:autoSpaceDN/>
              <w:spacing w:after="160" w:line="259" w:lineRule="auto"/>
              <w:contextualSpacing/>
              <w:jc w:val="both"/>
            </w:pPr>
            <w:r>
              <w:t>2.4</w:t>
            </w:r>
          </w:p>
        </w:tc>
      </w:tr>
      <w:tr w:rsidR="007216E4" w14:paraId="432C0804" w14:textId="77777777" w:rsidTr="002C58A2">
        <w:tc>
          <w:tcPr>
            <w:tcW w:w="2678" w:type="dxa"/>
          </w:tcPr>
          <w:p w14:paraId="178A232B" w14:textId="77777777" w:rsidR="007216E4" w:rsidRDefault="007216E4" w:rsidP="002C58A2">
            <w:pPr>
              <w:widowControl/>
              <w:autoSpaceDE/>
              <w:autoSpaceDN/>
              <w:spacing w:after="160" w:line="259" w:lineRule="auto"/>
              <w:contextualSpacing/>
              <w:jc w:val="both"/>
            </w:pPr>
            <w:r>
              <w:t>Other</w:t>
            </w:r>
          </w:p>
        </w:tc>
        <w:tc>
          <w:tcPr>
            <w:tcW w:w="2963" w:type="dxa"/>
          </w:tcPr>
          <w:p w14:paraId="2973E4F1" w14:textId="77777777" w:rsidR="007216E4" w:rsidRDefault="007216E4" w:rsidP="002C58A2">
            <w:pPr>
              <w:widowControl/>
              <w:autoSpaceDE/>
              <w:autoSpaceDN/>
              <w:spacing w:after="160" w:line="259" w:lineRule="auto"/>
              <w:contextualSpacing/>
              <w:jc w:val="both"/>
            </w:pPr>
            <w:r>
              <w:t>1</w:t>
            </w:r>
          </w:p>
        </w:tc>
        <w:tc>
          <w:tcPr>
            <w:tcW w:w="2114" w:type="dxa"/>
          </w:tcPr>
          <w:p w14:paraId="5E22AD7E" w14:textId="77777777" w:rsidR="007216E4" w:rsidRDefault="007216E4" w:rsidP="002C58A2">
            <w:pPr>
              <w:widowControl/>
              <w:autoSpaceDE/>
              <w:autoSpaceDN/>
              <w:spacing w:after="160" w:line="259" w:lineRule="auto"/>
              <w:contextualSpacing/>
              <w:jc w:val="both"/>
            </w:pPr>
            <w:r>
              <w:t>2</w:t>
            </w:r>
          </w:p>
        </w:tc>
        <w:tc>
          <w:tcPr>
            <w:tcW w:w="2443" w:type="dxa"/>
          </w:tcPr>
          <w:p w14:paraId="7366A099" w14:textId="77777777" w:rsidR="007216E4" w:rsidRDefault="007216E4" w:rsidP="002C58A2">
            <w:pPr>
              <w:widowControl/>
              <w:autoSpaceDE/>
              <w:autoSpaceDN/>
              <w:spacing w:after="160" w:line="259" w:lineRule="auto"/>
              <w:contextualSpacing/>
              <w:jc w:val="both"/>
            </w:pPr>
            <w:r>
              <w:t>0.3</w:t>
            </w:r>
          </w:p>
        </w:tc>
      </w:tr>
      <w:tr w:rsidR="007216E4" w14:paraId="1561E308" w14:textId="77777777" w:rsidTr="002C58A2">
        <w:tc>
          <w:tcPr>
            <w:tcW w:w="2678" w:type="dxa"/>
          </w:tcPr>
          <w:p w14:paraId="0B3C53CE" w14:textId="77777777" w:rsidR="007216E4" w:rsidRDefault="007216E4" w:rsidP="002C58A2">
            <w:pPr>
              <w:widowControl/>
              <w:autoSpaceDE/>
              <w:autoSpaceDN/>
              <w:spacing w:after="160" w:line="259" w:lineRule="auto"/>
              <w:contextualSpacing/>
              <w:jc w:val="both"/>
            </w:pPr>
            <w:r>
              <w:t>White</w:t>
            </w:r>
          </w:p>
        </w:tc>
        <w:tc>
          <w:tcPr>
            <w:tcW w:w="2963" w:type="dxa"/>
          </w:tcPr>
          <w:p w14:paraId="2467AADA" w14:textId="77777777" w:rsidR="007216E4" w:rsidRDefault="007216E4" w:rsidP="002C58A2">
            <w:pPr>
              <w:widowControl/>
              <w:autoSpaceDE/>
              <w:autoSpaceDN/>
              <w:spacing w:after="160" w:line="259" w:lineRule="auto"/>
              <w:contextualSpacing/>
              <w:jc w:val="both"/>
            </w:pPr>
            <w:r>
              <w:t>83</w:t>
            </w:r>
          </w:p>
        </w:tc>
        <w:tc>
          <w:tcPr>
            <w:tcW w:w="2114" w:type="dxa"/>
          </w:tcPr>
          <w:p w14:paraId="38123CB2" w14:textId="77777777" w:rsidR="007216E4" w:rsidRDefault="007216E4" w:rsidP="002C58A2">
            <w:pPr>
              <w:widowControl/>
              <w:autoSpaceDE/>
              <w:autoSpaceDN/>
              <w:spacing w:after="160" w:line="259" w:lineRule="auto"/>
              <w:contextualSpacing/>
              <w:jc w:val="both"/>
            </w:pPr>
            <w:r>
              <w:t>86</w:t>
            </w:r>
          </w:p>
        </w:tc>
        <w:tc>
          <w:tcPr>
            <w:tcW w:w="2443" w:type="dxa"/>
          </w:tcPr>
          <w:p w14:paraId="2EAF47CA" w14:textId="77777777" w:rsidR="007216E4" w:rsidRDefault="007216E4" w:rsidP="002C58A2">
            <w:pPr>
              <w:widowControl/>
              <w:autoSpaceDE/>
              <w:autoSpaceDN/>
              <w:spacing w:after="160" w:line="259" w:lineRule="auto"/>
              <w:contextualSpacing/>
              <w:jc w:val="both"/>
            </w:pPr>
            <w:r>
              <w:t>84.4</w:t>
            </w:r>
          </w:p>
        </w:tc>
      </w:tr>
      <w:tr w:rsidR="007216E4" w14:paraId="166890C2" w14:textId="77777777" w:rsidTr="002C58A2">
        <w:tc>
          <w:tcPr>
            <w:tcW w:w="2678" w:type="dxa"/>
          </w:tcPr>
          <w:p w14:paraId="674F6ACB" w14:textId="77777777" w:rsidR="007216E4" w:rsidRDefault="007216E4" w:rsidP="002C58A2">
            <w:pPr>
              <w:widowControl/>
              <w:autoSpaceDE/>
              <w:autoSpaceDN/>
              <w:spacing w:after="160" w:line="259" w:lineRule="auto"/>
              <w:contextualSpacing/>
              <w:jc w:val="both"/>
            </w:pPr>
            <w:r>
              <w:t>PNS</w:t>
            </w:r>
          </w:p>
        </w:tc>
        <w:tc>
          <w:tcPr>
            <w:tcW w:w="2963" w:type="dxa"/>
          </w:tcPr>
          <w:p w14:paraId="6CC0D31F" w14:textId="77777777" w:rsidR="007216E4" w:rsidRDefault="007216E4" w:rsidP="002C58A2">
            <w:pPr>
              <w:widowControl/>
              <w:autoSpaceDE/>
              <w:autoSpaceDN/>
              <w:spacing w:after="160" w:line="259" w:lineRule="auto"/>
              <w:contextualSpacing/>
              <w:jc w:val="both"/>
            </w:pPr>
            <w:r>
              <w:t>4</w:t>
            </w:r>
          </w:p>
        </w:tc>
        <w:tc>
          <w:tcPr>
            <w:tcW w:w="2114" w:type="dxa"/>
          </w:tcPr>
          <w:p w14:paraId="3C704340" w14:textId="77777777" w:rsidR="007216E4" w:rsidRDefault="007216E4" w:rsidP="002C58A2">
            <w:pPr>
              <w:widowControl/>
              <w:autoSpaceDE/>
              <w:autoSpaceDN/>
              <w:spacing w:after="160" w:line="259" w:lineRule="auto"/>
              <w:contextualSpacing/>
              <w:jc w:val="both"/>
            </w:pPr>
            <w:r>
              <w:t>2</w:t>
            </w:r>
          </w:p>
        </w:tc>
        <w:tc>
          <w:tcPr>
            <w:tcW w:w="2443" w:type="dxa"/>
          </w:tcPr>
          <w:p w14:paraId="39D0B2CF" w14:textId="77777777" w:rsidR="007216E4" w:rsidRDefault="007216E4" w:rsidP="002C58A2">
            <w:pPr>
              <w:widowControl/>
              <w:autoSpaceDE/>
              <w:autoSpaceDN/>
              <w:spacing w:after="160" w:line="259" w:lineRule="auto"/>
              <w:contextualSpacing/>
              <w:jc w:val="both"/>
            </w:pPr>
            <w:r>
              <w:t>2.4</w:t>
            </w:r>
          </w:p>
        </w:tc>
      </w:tr>
    </w:tbl>
    <w:p w14:paraId="448628FC" w14:textId="77777777" w:rsidR="007216E4" w:rsidRPr="00BE5936" w:rsidRDefault="007216E4" w:rsidP="007216E4">
      <w:pPr>
        <w:widowControl/>
        <w:autoSpaceDE/>
        <w:autoSpaceDN/>
        <w:spacing w:after="160" w:line="259" w:lineRule="auto"/>
        <w:contextualSpacing/>
        <w:jc w:val="both"/>
      </w:pPr>
    </w:p>
    <w:p w14:paraId="69DF2276" w14:textId="77777777" w:rsidR="007216E4" w:rsidRDefault="007216E4" w:rsidP="007216E4">
      <w:pPr>
        <w:widowControl/>
        <w:autoSpaceDE/>
        <w:autoSpaceDN/>
        <w:spacing w:after="160" w:line="259" w:lineRule="auto"/>
        <w:contextualSpacing/>
        <w:jc w:val="both"/>
        <w:rPr>
          <w:i/>
          <w:iCs/>
        </w:rPr>
      </w:pPr>
      <w:r>
        <w:rPr>
          <w:i/>
          <w:iCs/>
        </w:rPr>
        <w:t>Disability</w:t>
      </w:r>
    </w:p>
    <w:p w14:paraId="3039FDAF" w14:textId="77777777" w:rsidR="007216E4" w:rsidRDefault="007216E4" w:rsidP="007216E4">
      <w:pPr>
        <w:pStyle w:val="ListParagraph"/>
        <w:widowControl/>
        <w:numPr>
          <w:ilvl w:val="0"/>
          <w:numId w:val="26"/>
        </w:numPr>
        <w:autoSpaceDE/>
        <w:autoSpaceDN/>
        <w:spacing w:after="160" w:line="259" w:lineRule="auto"/>
        <w:contextualSpacing/>
        <w:jc w:val="both"/>
      </w:pPr>
      <w:r>
        <w:t xml:space="preserve">10% respondents identified as having a disability. This compares with 4.4% of CILEX </w:t>
      </w:r>
      <w:proofErr w:type="gramStart"/>
      <w:r>
        <w:t>members as a whole</w:t>
      </w:r>
      <w:proofErr w:type="gramEnd"/>
      <w:r>
        <w:t>.</w:t>
      </w:r>
    </w:p>
    <w:p w14:paraId="3BC5DCDE" w14:textId="77777777" w:rsidR="007216E4" w:rsidRDefault="007216E4" w:rsidP="007216E4">
      <w:pPr>
        <w:widowControl/>
        <w:autoSpaceDE/>
        <w:autoSpaceDN/>
        <w:spacing w:after="160" w:line="259" w:lineRule="auto"/>
        <w:contextualSpacing/>
        <w:jc w:val="both"/>
        <w:rPr>
          <w:i/>
          <w:iCs/>
        </w:rPr>
      </w:pPr>
      <w:r>
        <w:rPr>
          <w:i/>
          <w:iCs/>
        </w:rPr>
        <w:lastRenderedPageBreak/>
        <w:t>Socio-economic background</w:t>
      </w:r>
    </w:p>
    <w:p w14:paraId="30B716A1" w14:textId="77777777" w:rsidR="007216E4" w:rsidRDefault="007216E4" w:rsidP="007216E4">
      <w:pPr>
        <w:pStyle w:val="ListParagraph"/>
        <w:widowControl/>
        <w:numPr>
          <w:ilvl w:val="0"/>
          <w:numId w:val="26"/>
        </w:numPr>
        <w:autoSpaceDE/>
        <w:autoSpaceDN/>
        <w:spacing w:after="160" w:line="259" w:lineRule="auto"/>
        <w:contextualSpacing/>
        <w:jc w:val="both"/>
      </w:pPr>
      <w:r>
        <w:t>7% respondents attended an independent school, 5% attended a school outside of the UK with 1% attending ‘other’ types of school. 81% attended a state school and 6% preferred not to answer this question. This compares with 83% CILEX members attending state school as a whole and 6.4% attending an independent school.</w:t>
      </w:r>
    </w:p>
    <w:p w14:paraId="7AEBDA21" w14:textId="77777777" w:rsidR="007216E4" w:rsidRDefault="007216E4" w:rsidP="007216E4">
      <w:pPr>
        <w:pStyle w:val="ListParagraph"/>
        <w:widowControl/>
        <w:autoSpaceDE/>
        <w:autoSpaceDN/>
        <w:spacing w:after="160" w:line="259" w:lineRule="auto"/>
        <w:ind w:left="720"/>
        <w:contextualSpacing/>
        <w:jc w:val="both"/>
      </w:pPr>
    </w:p>
    <w:p w14:paraId="451C144E" w14:textId="77777777" w:rsidR="007216E4" w:rsidRPr="00302288" w:rsidRDefault="007216E4" w:rsidP="007216E4">
      <w:pPr>
        <w:pStyle w:val="ListParagraph"/>
        <w:widowControl/>
        <w:numPr>
          <w:ilvl w:val="0"/>
          <w:numId w:val="26"/>
        </w:numPr>
        <w:autoSpaceDE/>
        <w:autoSpaceDN/>
        <w:spacing w:after="160" w:line="259" w:lineRule="auto"/>
        <w:contextualSpacing/>
        <w:jc w:val="both"/>
      </w:pPr>
      <w:r>
        <w:t xml:space="preserve">39% respondents did not attend university and a further 35% were the first in their family to attend university. This compares with 30% of the CILEX membership </w:t>
      </w:r>
      <w:proofErr w:type="gramStart"/>
      <w:r>
        <w:t>as a whole who</w:t>
      </w:r>
      <w:proofErr w:type="gramEnd"/>
      <w:r>
        <w:t xml:space="preserve"> were the first in their family to attend university.</w:t>
      </w:r>
    </w:p>
    <w:p w14:paraId="1350691E" w14:textId="77777777" w:rsidR="007216E4" w:rsidRPr="007216E4" w:rsidRDefault="007216E4" w:rsidP="00C7542F">
      <w:pPr>
        <w:jc w:val="both"/>
        <w:rPr>
          <w:b/>
          <w:bCs/>
        </w:rPr>
      </w:pPr>
    </w:p>
    <w:p w14:paraId="10356CC5" w14:textId="4D2E60AB" w:rsidR="00BB2671" w:rsidRPr="007F784D" w:rsidRDefault="00257F4F" w:rsidP="00C7542F">
      <w:pPr>
        <w:jc w:val="both"/>
        <w:sectPr w:rsidR="00BB2671" w:rsidRPr="007F784D" w:rsidSect="00C725A3">
          <w:headerReference w:type="default" r:id="rId15"/>
          <w:footerReference w:type="default" r:id="rId16"/>
          <w:type w:val="continuous"/>
          <w:pgSz w:w="11910" w:h="16840"/>
          <w:pgMar w:top="2268" w:right="851" w:bottom="1701" w:left="851" w:header="720" w:footer="720" w:gutter="0"/>
          <w:cols w:space="720"/>
        </w:sectPr>
      </w:pPr>
      <w:r w:rsidRPr="007F784D">
        <w:rPr>
          <w:rFonts w:eastAsia="Calibri"/>
          <w:lang w:eastAsia="en-US" w:bidi="ar-SA"/>
        </w:rPr>
        <w:t>Ends</w:t>
      </w:r>
    </w:p>
    <w:p w14:paraId="7B8FA732" w14:textId="728921E5" w:rsidR="00B06F7F" w:rsidRPr="007F784D" w:rsidRDefault="00B06F7F" w:rsidP="00C7542F">
      <w:pPr>
        <w:spacing w:before="93"/>
        <w:ind w:left="117"/>
        <w:jc w:val="both"/>
      </w:pPr>
    </w:p>
    <w:sectPr w:rsidR="00B06F7F" w:rsidRPr="007F784D" w:rsidSect="00C725A3">
      <w:type w:val="continuous"/>
      <w:pgSz w:w="11910" w:h="16840"/>
      <w:pgMar w:top="2268" w:right="851" w:bottom="1701" w:left="851" w:header="720" w:footer="720" w:gutter="0"/>
      <w:cols w:num="2" w:space="720" w:equalWidth="0">
        <w:col w:w="5908" w:space="1477"/>
        <w:col w:w="2374"/>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45696" w14:textId="77777777" w:rsidR="009B6202" w:rsidRDefault="009B6202" w:rsidP="00753D96">
      <w:r>
        <w:separator/>
      </w:r>
    </w:p>
  </w:endnote>
  <w:endnote w:type="continuationSeparator" w:id="0">
    <w:p w14:paraId="6437F700" w14:textId="77777777" w:rsidR="009B6202" w:rsidRDefault="009B6202" w:rsidP="00753D96">
      <w:r>
        <w:continuationSeparator/>
      </w:r>
    </w:p>
  </w:endnote>
  <w:endnote w:type="continuationNotice" w:id="1">
    <w:p w14:paraId="22BB5DDF" w14:textId="77777777" w:rsidR="009B6202" w:rsidRDefault="009B62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05B31" w14:textId="7C2635B3" w:rsidR="007967A4" w:rsidRPr="002D3668" w:rsidRDefault="005A2E3E">
    <w:pPr>
      <w:pStyle w:val="Footer"/>
      <w:rPr>
        <w:color w:val="231F20"/>
        <w:sz w:val="15"/>
      </w:rPr>
    </w:pPr>
    <w:r w:rsidRPr="00566B7E">
      <w:br w:type="column"/>
    </w:r>
    <w:r>
      <w:t xml:space="preserve"> </w:t>
    </w:r>
    <w:bookmarkStart w:id="6" w:name="_Hlk37084693"/>
    <w:r>
      <w:t xml:space="preserve"> </w:t>
    </w:r>
    <w:bookmarkEnd w:id="6"/>
    <w:r>
      <w:ptab w:relativeTo="margin" w:alignment="center" w:leader="none"/>
    </w:r>
    <w:r w:rsidR="00931DEF" w:rsidRPr="008A062A">
      <w:rPr>
        <w:noProof/>
      </w:rPr>
      <w:drawing>
        <wp:inline distT="0" distB="0" distL="0" distR="0" wp14:anchorId="60E6FF8C" wp14:editId="7B4234C5">
          <wp:extent cx="6220460" cy="698500"/>
          <wp:effectExtent l="0" t="0" r="889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0460" cy="6985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45780" w14:textId="77777777" w:rsidR="009B6202" w:rsidRDefault="009B6202" w:rsidP="00753D96">
      <w:r>
        <w:separator/>
      </w:r>
    </w:p>
  </w:footnote>
  <w:footnote w:type="continuationSeparator" w:id="0">
    <w:p w14:paraId="6D8A1238" w14:textId="77777777" w:rsidR="009B6202" w:rsidRDefault="009B6202" w:rsidP="00753D96">
      <w:r>
        <w:continuationSeparator/>
      </w:r>
    </w:p>
  </w:footnote>
  <w:footnote w:type="continuationNotice" w:id="1">
    <w:p w14:paraId="7AB1025D" w14:textId="77777777" w:rsidR="009B6202" w:rsidRDefault="009B6202"/>
  </w:footnote>
  <w:footnote w:id="2">
    <w:p w14:paraId="6028122D" w14:textId="49B5D5DA" w:rsidR="00A94722" w:rsidRDefault="00A94722">
      <w:pPr>
        <w:pStyle w:val="FootnoteText"/>
      </w:pPr>
      <w:r>
        <w:rPr>
          <w:rStyle w:val="FootnoteReference"/>
        </w:rPr>
        <w:footnoteRef/>
      </w:r>
      <w:r>
        <w:t xml:space="preserve"> provided they work in a regulated law firm or in-house provided they do not offer services to the public or a section of the public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EE4F7" w14:textId="5FDE0E3D" w:rsidR="00657FC9" w:rsidRDefault="00657FC9">
    <w:pPr>
      <w:pStyle w:val="Header"/>
    </w:pPr>
    <w:r w:rsidRPr="00F04A4E">
      <w:rPr>
        <w:rFonts w:ascii="Times New Roman"/>
        <w:noProof/>
        <w:sz w:val="20"/>
      </w:rPr>
      <w:drawing>
        <wp:inline distT="0" distB="0" distL="0" distR="0" wp14:anchorId="64D5272E" wp14:editId="33A7D799">
          <wp:extent cx="2171139" cy="793750"/>
          <wp:effectExtent l="0" t="0" r="63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71139" cy="7937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13CA"/>
    <w:multiLevelType w:val="hybridMultilevel"/>
    <w:tmpl w:val="AAA402E2"/>
    <w:lvl w:ilvl="0" w:tplc="940889DA">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861C58"/>
    <w:multiLevelType w:val="hybridMultilevel"/>
    <w:tmpl w:val="AAA402E2"/>
    <w:lvl w:ilvl="0" w:tplc="940889DA">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D15AFD"/>
    <w:multiLevelType w:val="hybridMultilevel"/>
    <w:tmpl w:val="CB3C55C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0A7E37A0"/>
    <w:multiLevelType w:val="hybridMultilevel"/>
    <w:tmpl w:val="95F8E2A0"/>
    <w:lvl w:ilvl="0" w:tplc="1B6EC5E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AF138D"/>
    <w:multiLevelType w:val="hybridMultilevel"/>
    <w:tmpl w:val="6E286BF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39F6783"/>
    <w:multiLevelType w:val="hybridMultilevel"/>
    <w:tmpl w:val="AE1E5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A76CE0"/>
    <w:multiLevelType w:val="hybridMultilevel"/>
    <w:tmpl w:val="A8F2C77E"/>
    <w:lvl w:ilvl="0" w:tplc="ADF04194">
      <w:start w:val="1"/>
      <w:numFmt w:val="decimal"/>
      <w:lvlText w:val="%1."/>
      <w:lvlJc w:val="left"/>
      <w:pPr>
        <w:ind w:left="720" w:hanging="360"/>
      </w:pPr>
      <w:rPr>
        <w:rFonts w:hint="default"/>
        <w:color w:val="auto"/>
      </w:rPr>
    </w:lvl>
    <w:lvl w:ilvl="1" w:tplc="92FC685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E34491"/>
    <w:multiLevelType w:val="hybridMultilevel"/>
    <w:tmpl w:val="9A623660"/>
    <w:lvl w:ilvl="0" w:tplc="930476E4">
      <w:start w:val="6"/>
      <w:numFmt w:val="bullet"/>
      <w:lvlText w:val=""/>
      <w:lvlJc w:val="left"/>
      <w:pPr>
        <w:ind w:left="1800" w:hanging="360"/>
      </w:pPr>
      <w:rPr>
        <w:rFonts w:ascii="Symbol" w:eastAsia="Arial" w:hAnsi="Symbo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22317AAB"/>
    <w:multiLevelType w:val="hybridMultilevel"/>
    <w:tmpl w:val="FD148A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2F83440"/>
    <w:multiLevelType w:val="hybridMultilevel"/>
    <w:tmpl w:val="5EF8C972"/>
    <w:lvl w:ilvl="0" w:tplc="DD0A5D10">
      <w:start w:val="1"/>
      <w:numFmt w:val="decimal"/>
      <w:lvlText w:val="%1."/>
      <w:lvlJc w:val="left"/>
      <w:pPr>
        <w:ind w:left="720" w:hanging="360"/>
      </w:pPr>
      <w:rPr>
        <w:rFonts w:ascii="Arial" w:hAnsi="Arial" w:cs="Arial" w:hint="default"/>
        <w:b w:val="0"/>
        <w:i w:val="0"/>
        <w:iCs/>
        <w:color w:val="auto"/>
      </w:rPr>
    </w:lvl>
    <w:lvl w:ilvl="1" w:tplc="08090019">
      <w:start w:val="1"/>
      <w:numFmt w:val="lowerLetter"/>
      <w:lvlText w:val="%2."/>
      <w:lvlJc w:val="left"/>
      <w:pPr>
        <w:ind w:left="1440" w:hanging="360"/>
      </w:pPr>
    </w:lvl>
    <w:lvl w:ilvl="2" w:tplc="C77453DA">
      <w:numFmt w:val="bullet"/>
      <w:lvlText w:val="•"/>
      <w:lvlJc w:val="left"/>
      <w:pPr>
        <w:ind w:left="2340" w:hanging="360"/>
      </w:pPr>
      <w:rPr>
        <w:rFonts w:ascii="Arial" w:eastAsia="Arial" w:hAnsi="Arial" w:cs="Aria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D61298"/>
    <w:multiLevelType w:val="hybridMultilevel"/>
    <w:tmpl w:val="F92CCA28"/>
    <w:lvl w:ilvl="0" w:tplc="08090019">
      <w:start w:val="1"/>
      <w:numFmt w:val="lowerLetter"/>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1" w15:restartNumberingAfterBreak="0">
    <w:nsid w:val="27BB7BF9"/>
    <w:multiLevelType w:val="hybridMultilevel"/>
    <w:tmpl w:val="1888752E"/>
    <w:lvl w:ilvl="0" w:tplc="08090017">
      <w:start w:val="1"/>
      <w:numFmt w:val="lowerLetter"/>
      <w:lvlText w:val="%1)"/>
      <w:lvlJc w:val="left"/>
      <w:pPr>
        <w:ind w:left="1800" w:hanging="360"/>
      </w:pPr>
      <w:rPr>
        <w:rFont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2" w15:restartNumberingAfterBreak="0">
    <w:nsid w:val="2F093489"/>
    <w:multiLevelType w:val="hybridMultilevel"/>
    <w:tmpl w:val="BC8CCE56"/>
    <w:lvl w:ilvl="0" w:tplc="FFFFFFFF">
      <w:start w:val="1"/>
      <w:numFmt w:val="decimal"/>
      <w:lvlText w:val="%1."/>
      <w:lvlJc w:val="left"/>
      <w:pPr>
        <w:ind w:left="720" w:hanging="360"/>
      </w:pPr>
      <w:rPr>
        <w:b w:val="0"/>
        <w:i w:val="0"/>
        <w:iCs/>
        <w:color w:val="auto"/>
      </w:rPr>
    </w:lvl>
    <w:lvl w:ilvl="1" w:tplc="FFFFFFFF">
      <w:start w:val="1"/>
      <w:numFmt w:val="lowerLetter"/>
      <w:lvlText w:val="%2."/>
      <w:lvlJc w:val="left"/>
      <w:pPr>
        <w:ind w:left="1440" w:hanging="360"/>
      </w:pPr>
    </w:lvl>
    <w:lvl w:ilvl="2" w:tplc="FFFFFFFF">
      <w:numFmt w:val="bullet"/>
      <w:lvlText w:val="•"/>
      <w:lvlJc w:val="left"/>
      <w:pPr>
        <w:ind w:left="2340" w:hanging="360"/>
      </w:pPr>
      <w:rPr>
        <w:rFonts w:ascii="Arial" w:eastAsia="Arial" w:hAnsi="Arial" w:cs="Aria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57F74F6"/>
    <w:multiLevelType w:val="hybridMultilevel"/>
    <w:tmpl w:val="B5CCCC8E"/>
    <w:lvl w:ilvl="0" w:tplc="08090003">
      <w:start w:val="1"/>
      <w:numFmt w:val="bullet"/>
      <w:lvlText w:val="o"/>
      <w:lvlJc w:val="left"/>
      <w:pPr>
        <w:ind w:left="780" w:hanging="360"/>
      </w:pPr>
      <w:rPr>
        <w:rFonts w:ascii="Courier New" w:hAnsi="Courier New" w:cs="Courier New"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3DD25A86"/>
    <w:multiLevelType w:val="hybridMultilevel"/>
    <w:tmpl w:val="18CA805C"/>
    <w:lvl w:ilvl="0" w:tplc="FFFFFFFF">
      <w:start w:val="1"/>
      <w:numFmt w:val="decimal"/>
      <w:lvlText w:val="%1."/>
      <w:lvlJc w:val="left"/>
      <w:pPr>
        <w:ind w:left="720" w:hanging="360"/>
      </w:pPr>
      <w:rPr>
        <w:b w:val="0"/>
        <w:i w:val="0"/>
        <w:iCs/>
        <w:color w:val="auto"/>
      </w:rPr>
    </w:lvl>
    <w:lvl w:ilvl="1" w:tplc="FFFFFFFF">
      <w:start w:val="1"/>
      <w:numFmt w:val="lowerLetter"/>
      <w:lvlText w:val="%2."/>
      <w:lvlJc w:val="left"/>
      <w:pPr>
        <w:ind w:left="1440" w:hanging="360"/>
      </w:pPr>
    </w:lvl>
    <w:lvl w:ilvl="2" w:tplc="FFFFFFFF">
      <w:numFmt w:val="bullet"/>
      <w:lvlText w:val="•"/>
      <w:lvlJc w:val="left"/>
      <w:pPr>
        <w:ind w:left="2340" w:hanging="360"/>
      </w:pPr>
      <w:rPr>
        <w:rFonts w:ascii="Arial" w:eastAsia="Arial" w:hAnsi="Arial" w:cs="Aria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F0448B6"/>
    <w:multiLevelType w:val="hybridMultilevel"/>
    <w:tmpl w:val="43AC74E4"/>
    <w:lvl w:ilvl="0" w:tplc="D9A88D1E">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58960AE"/>
    <w:multiLevelType w:val="hybridMultilevel"/>
    <w:tmpl w:val="74C2A02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6CE1BFC"/>
    <w:multiLevelType w:val="hybridMultilevel"/>
    <w:tmpl w:val="33D278DE"/>
    <w:lvl w:ilvl="0" w:tplc="CC3A619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AD4E74"/>
    <w:multiLevelType w:val="hybridMultilevel"/>
    <w:tmpl w:val="3CDC2C8C"/>
    <w:lvl w:ilvl="0" w:tplc="5B842DF4">
      <w:start w:val="6"/>
      <w:numFmt w:val="decimal"/>
      <w:lvlText w:val="%1."/>
      <w:lvlJc w:val="left"/>
      <w:pPr>
        <w:ind w:left="1800" w:hanging="360"/>
      </w:pPr>
      <w:rPr>
        <w:rFonts w:hint="default"/>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4EB82A38"/>
    <w:multiLevelType w:val="multilevel"/>
    <w:tmpl w:val="9EB04862"/>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0" w15:restartNumberingAfterBreak="0">
    <w:nsid w:val="54D40B9D"/>
    <w:multiLevelType w:val="hybridMultilevel"/>
    <w:tmpl w:val="FEC09C14"/>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565C46C6"/>
    <w:multiLevelType w:val="hybridMultilevel"/>
    <w:tmpl w:val="3496E3F0"/>
    <w:lvl w:ilvl="0" w:tplc="6868D79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F31CFE"/>
    <w:multiLevelType w:val="hybridMultilevel"/>
    <w:tmpl w:val="F0546714"/>
    <w:lvl w:ilvl="0" w:tplc="74DA5FAE">
      <w:start w:val="1"/>
      <w:numFmt w:val="upperLetter"/>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FAD38AD"/>
    <w:multiLevelType w:val="hybridMultilevel"/>
    <w:tmpl w:val="AAA402E2"/>
    <w:lvl w:ilvl="0" w:tplc="940889DA">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04B7630"/>
    <w:multiLevelType w:val="hybridMultilevel"/>
    <w:tmpl w:val="A8EE39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2FF2F18"/>
    <w:multiLevelType w:val="hybridMultilevel"/>
    <w:tmpl w:val="F18ABA54"/>
    <w:lvl w:ilvl="0" w:tplc="FFFFFFFF">
      <w:start w:val="1"/>
      <w:numFmt w:val="decimal"/>
      <w:lvlText w:val="%1."/>
      <w:lvlJc w:val="left"/>
      <w:pPr>
        <w:ind w:left="720" w:hanging="360"/>
      </w:pPr>
      <w:rPr>
        <w:b w:val="0"/>
        <w:color w:val="auto"/>
      </w:rPr>
    </w:lvl>
    <w:lvl w:ilvl="1" w:tplc="FFFFFFFF">
      <w:start w:val="1"/>
      <w:numFmt w:val="lowerLetter"/>
      <w:lvlText w:val="%2."/>
      <w:lvlJc w:val="left"/>
      <w:pPr>
        <w:ind w:left="1440" w:hanging="360"/>
      </w:pPr>
    </w:lvl>
    <w:lvl w:ilvl="2" w:tplc="FFFFFFFF">
      <w:numFmt w:val="bullet"/>
      <w:lvlText w:val="•"/>
      <w:lvlJc w:val="left"/>
      <w:pPr>
        <w:ind w:left="2340" w:hanging="360"/>
      </w:pPr>
      <w:rPr>
        <w:rFonts w:ascii="Arial" w:eastAsia="Arial" w:hAnsi="Arial" w:cs="Aria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9E94E6A"/>
    <w:multiLevelType w:val="hybridMultilevel"/>
    <w:tmpl w:val="BC8CCE56"/>
    <w:lvl w:ilvl="0" w:tplc="FFFFFFFF">
      <w:start w:val="1"/>
      <w:numFmt w:val="decimal"/>
      <w:lvlText w:val="%1."/>
      <w:lvlJc w:val="left"/>
      <w:pPr>
        <w:ind w:left="720" w:hanging="360"/>
      </w:pPr>
      <w:rPr>
        <w:b w:val="0"/>
        <w:i w:val="0"/>
        <w:iCs/>
        <w:color w:val="auto"/>
      </w:rPr>
    </w:lvl>
    <w:lvl w:ilvl="1" w:tplc="FFFFFFFF">
      <w:start w:val="1"/>
      <w:numFmt w:val="lowerLetter"/>
      <w:lvlText w:val="%2."/>
      <w:lvlJc w:val="left"/>
      <w:pPr>
        <w:ind w:left="1440" w:hanging="360"/>
      </w:pPr>
    </w:lvl>
    <w:lvl w:ilvl="2" w:tplc="FFFFFFFF">
      <w:numFmt w:val="bullet"/>
      <w:lvlText w:val="•"/>
      <w:lvlJc w:val="left"/>
      <w:pPr>
        <w:ind w:left="2340" w:hanging="360"/>
      </w:pPr>
      <w:rPr>
        <w:rFonts w:ascii="Arial" w:eastAsia="Arial" w:hAnsi="Arial" w:cs="Aria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1523004"/>
    <w:multiLevelType w:val="hybridMultilevel"/>
    <w:tmpl w:val="A47237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1A104BD"/>
    <w:multiLevelType w:val="hybridMultilevel"/>
    <w:tmpl w:val="CA4C79E0"/>
    <w:lvl w:ilvl="0" w:tplc="930476E4">
      <w:start w:val="6"/>
      <w:numFmt w:val="bullet"/>
      <w:lvlText w:val=""/>
      <w:lvlJc w:val="left"/>
      <w:pPr>
        <w:ind w:left="2520" w:hanging="360"/>
      </w:pPr>
      <w:rPr>
        <w:rFonts w:ascii="Symbol" w:eastAsia="Arial"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4385AE9"/>
    <w:multiLevelType w:val="hybridMultilevel"/>
    <w:tmpl w:val="BC8CCE56"/>
    <w:lvl w:ilvl="0" w:tplc="FFFFFFFF">
      <w:start w:val="1"/>
      <w:numFmt w:val="decimal"/>
      <w:lvlText w:val="%1."/>
      <w:lvlJc w:val="left"/>
      <w:pPr>
        <w:ind w:left="720" w:hanging="360"/>
      </w:pPr>
      <w:rPr>
        <w:b w:val="0"/>
        <w:i w:val="0"/>
        <w:iCs/>
        <w:color w:val="auto"/>
      </w:rPr>
    </w:lvl>
    <w:lvl w:ilvl="1" w:tplc="FFFFFFFF">
      <w:start w:val="1"/>
      <w:numFmt w:val="lowerLetter"/>
      <w:lvlText w:val="%2."/>
      <w:lvlJc w:val="left"/>
      <w:pPr>
        <w:ind w:left="1440" w:hanging="360"/>
      </w:pPr>
    </w:lvl>
    <w:lvl w:ilvl="2" w:tplc="FFFFFFFF">
      <w:numFmt w:val="bullet"/>
      <w:lvlText w:val="•"/>
      <w:lvlJc w:val="left"/>
      <w:pPr>
        <w:ind w:left="2340" w:hanging="360"/>
      </w:pPr>
      <w:rPr>
        <w:rFonts w:ascii="Arial" w:eastAsia="Arial" w:hAnsi="Arial" w:cs="Aria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A9753F5"/>
    <w:multiLevelType w:val="hybridMultilevel"/>
    <w:tmpl w:val="BC8CCE56"/>
    <w:lvl w:ilvl="0" w:tplc="FFFFFFFF">
      <w:start w:val="1"/>
      <w:numFmt w:val="decimal"/>
      <w:lvlText w:val="%1."/>
      <w:lvlJc w:val="left"/>
      <w:pPr>
        <w:ind w:left="720" w:hanging="360"/>
      </w:pPr>
      <w:rPr>
        <w:b w:val="0"/>
        <w:i w:val="0"/>
        <w:iCs/>
        <w:color w:val="auto"/>
      </w:rPr>
    </w:lvl>
    <w:lvl w:ilvl="1" w:tplc="FFFFFFFF">
      <w:start w:val="1"/>
      <w:numFmt w:val="lowerLetter"/>
      <w:lvlText w:val="%2."/>
      <w:lvlJc w:val="left"/>
      <w:pPr>
        <w:ind w:left="1440" w:hanging="360"/>
      </w:pPr>
    </w:lvl>
    <w:lvl w:ilvl="2" w:tplc="FFFFFFFF">
      <w:numFmt w:val="bullet"/>
      <w:lvlText w:val="•"/>
      <w:lvlJc w:val="left"/>
      <w:pPr>
        <w:ind w:left="2340" w:hanging="360"/>
      </w:pPr>
      <w:rPr>
        <w:rFonts w:ascii="Arial" w:eastAsia="Arial" w:hAnsi="Arial" w:cs="Aria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D6279C0"/>
    <w:multiLevelType w:val="hybridMultilevel"/>
    <w:tmpl w:val="2850D3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E1D7356"/>
    <w:multiLevelType w:val="hybridMultilevel"/>
    <w:tmpl w:val="E5881B3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42602127">
    <w:abstractNumId w:val="9"/>
  </w:num>
  <w:num w:numId="2" w16cid:durableId="1328442177">
    <w:abstractNumId w:val="23"/>
  </w:num>
  <w:num w:numId="3" w16cid:durableId="2118216301">
    <w:abstractNumId w:val="8"/>
  </w:num>
  <w:num w:numId="4" w16cid:durableId="26419996">
    <w:abstractNumId w:val="4"/>
  </w:num>
  <w:num w:numId="5" w16cid:durableId="967853563">
    <w:abstractNumId w:val="19"/>
  </w:num>
  <w:num w:numId="6" w16cid:durableId="2041009198">
    <w:abstractNumId w:val="32"/>
  </w:num>
  <w:num w:numId="7" w16cid:durableId="1989749632">
    <w:abstractNumId w:val="0"/>
  </w:num>
  <w:num w:numId="8" w16cid:durableId="1975673213">
    <w:abstractNumId w:val="1"/>
  </w:num>
  <w:num w:numId="9" w16cid:durableId="1047488120">
    <w:abstractNumId w:val="13"/>
  </w:num>
  <w:num w:numId="10" w16cid:durableId="778838193">
    <w:abstractNumId w:val="24"/>
  </w:num>
  <w:num w:numId="11" w16cid:durableId="424809534">
    <w:abstractNumId w:val="21"/>
  </w:num>
  <w:num w:numId="12" w16cid:durableId="819468479">
    <w:abstractNumId w:val="5"/>
  </w:num>
  <w:num w:numId="13" w16cid:durableId="817649846">
    <w:abstractNumId w:val="3"/>
  </w:num>
  <w:num w:numId="14" w16cid:durableId="1558737530">
    <w:abstractNumId w:val="2"/>
  </w:num>
  <w:num w:numId="15" w16cid:durableId="1186207813">
    <w:abstractNumId w:val="7"/>
  </w:num>
  <w:num w:numId="16" w16cid:durableId="474377576">
    <w:abstractNumId w:val="28"/>
  </w:num>
  <w:num w:numId="17" w16cid:durableId="1307853348">
    <w:abstractNumId w:val="18"/>
  </w:num>
  <w:num w:numId="18" w16cid:durableId="1236161875">
    <w:abstractNumId w:val="11"/>
  </w:num>
  <w:num w:numId="19" w16cid:durableId="2046254340">
    <w:abstractNumId w:val="25"/>
  </w:num>
  <w:num w:numId="20" w16cid:durableId="1816218672">
    <w:abstractNumId w:val="20"/>
  </w:num>
  <w:num w:numId="21" w16cid:durableId="734818235">
    <w:abstractNumId w:val="6"/>
  </w:num>
  <w:num w:numId="22" w16cid:durableId="123739441">
    <w:abstractNumId w:val="14"/>
  </w:num>
  <w:num w:numId="23" w16cid:durableId="1931351171">
    <w:abstractNumId w:val="29"/>
  </w:num>
  <w:num w:numId="24" w16cid:durableId="89157078">
    <w:abstractNumId w:val="26"/>
  </w:num>
  <w:num w:numId="25" w16cid:durableId="893083337">
    <w:abstractNumId w:val="12"/>
  </w:num>
  <w:num w:numId="26" w16cid:durableId="889852163">
    <w:abstractNumId w:val="30"/>
  </w:num>
  <w:num w:numId="27" w16cid:durableId="7492828">
    <w:abstractNumId w:val="16"/>
  </w:num>
  <w:num w:numId="28" w16cid:durableId="1363897965">
    <w:abstractNumId w:val="31"/>
  </w:num>
  <w:num w:numId="29" w16cid:durableId="955865003">
    <w:abstractNumId w:val="27"/>
  </w:num>
  <w:num w:numId="30" w16cid:durableId="2042657649">
    <w:abstractNumId w:val="10"/>
  </w:num>
  <w:num w:numId="31" w16cid:durableId="835726083">
    <w:abstractNumId w:val="22"/>
  </w:num>
  <w:num w:numId="32" w16cid:durableId="724716845">
    <w:abstractNumId w:val="15"/>
  </w:num>
  <w:num w:numId="33" w16cid:durableId="123636077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F7F"/>
    <w:rsid w:val="000074C7"/>
    <w:rsid w:val="00011F61"/>
    <w:rsid w:val="000175D8"/>
    <w:rsid w:val="00037A3D"/>
    <w:rsid w:val="00043ADC"/>
    <w:rsid w:val="00044590"/>
    <w:rsid w:val="00044591"/>
    <w:rsid w:val="000446B1"/>
    <w:rsid w:val="00051666"/>
    <w:rsid w:val="00053AC8"/>
    <w:rsid w:val="000618BF"/>
    <w:rsid w:val="00066372"/>
    <w:rsid w:val="00067434"/>
    <w:rsid w:val="000676E2"/>
    <w:rsid w:val="00072DAE"/>
    <w:rsid w:val="00080F9D"/>
    <w:rsid w:val="0008552C"/>
    <w:rsid w:val="000907AA"/>
    <w:rsid w:val="0009254E"/>
    <w:rsid w:val="000958DD"/>
    <w:rsid w:val="000A0EAB"/>
    <w:rsid w:val="000A0FBC"/>
    <w:rsid w:val="000B6A81"/>
    <w:rsid w:val="000C08EE"/>
    <w:rsid w:val="000C411D"/>
    <w:rsid w:val="000D6AB5"/>
    <w:rsid w:val="000F1D2F"/>
    <w:rsid w:val="001004FB"/>
    <w:rsid w:val="00105CBE"/>
    <w:rsid w:val="00106FE2"/>
    <w:rsid w:val="001215CC"/>
    <w:rsid w:val="001220D1"/>
    <w:rsid w:val="0012629F"/>
    <w:rsid w:val="00126737"/>
    <w:rsid w:val="00131DD0"/>
    <w:rsid w:val="00134113"/>
    <w:rsid w:val="00136BE9"/>
    <w:rsid w:val="00141FBA"/>
    <w:rsid w:val="00142FF0"/>
    <w:rsid w:val="00147742"/>
    <w:rsid w:val="00152B26"/>
    <w:rsid w:val="00160BFC"/>
    <w:rsid w:val="001612DA"/>
    <w:rsid w:val="001613C0"/>
    <w:rsid w:val="00161FEC"/>
    <w:rsid w:val="00167238"/>
    <w:rsid w:val="001902E2"/>
    <w:rsid w:val="00190329"/>
    <w:rsid w:val="001A4930"/>
    <w:rsid w:val="001A4A92"/>
    <w:rsid w:val="001B3D90"/>
    <w:rsid w:val="001C28DB"/>
    <w:rsid w:val="001C3B7F"/>
    <w:rsid w:val="001C4D09"/>
    <w:rsid w:val="001C5DF2"/>
    <w:rsid w:val="001C72D5"/>
    <w:rsid w:val="001D3466"/>
    <w:rsid w:val="001E1594"/>
    <w:rsid w:val="001E4C80"/>
    <w:rsid w:val="001F35BC"/>
    <w:rsid w:val="001F3A81"/>
    <w:rsid w:val="001F711C"/>
    <w:rsid w:val="0020058B"/>
    <w:rsid w:val="00204019"/>
    <w:rsid w:val="00205CF7"/>
    <w:rsid w:val="00205F63"/>
    <w:rsid w:val="0022101A"/>
    <w:rsid w:val="00225D54"/>
    <w:rsid w:val="00231D00"/>
    <w:rsid w:val="002357C6"/>
    <w:rsid w:val="00237479"/>
    <w:rsid w:val="00241406"/>
    <w:rsid w:val="002445E1"/>
    <w:rsid w:val="00246BB0"/>
    <w:rsid w:val="002503F8"/>
    <w:rsid w:val="002572ED"/>
    <w:rsid w:val="00257F4F"/>
    <w:rsid w:val="00264A2F"/>
    <w:rsid w:val="0026780E"/>
    <w:rsid w:val="00280101"/>
    <w:rsid w:val="00280848"/>
    <w:rsid w:val="00293A21"/>
    <w:rsid w:val="0029563B"/>
    <w:rsid w:val="0029734D"/>
    <w:rsid w:val="002A099F"/>
    <w:rsid w:val="002A52C1"/>
    <w:rsid w:val="002B1CF7"/>
    <w:rsid w:val="002B71B5"/>
    <w:rsid w:val="002C3211"/>
    <w:rsid w:val="002C5E41"/>
    <w:rsid w:val="002C632B"/>
    <w:rsid w:val="002C66B8"/>
    <w:rsid w:val="002C7BC7"/>
    <w:rsid w:val="002D05BA"/>
    <w:rsid w:val="002D1733"/>
    <w:rsid w:val="002D17D3"/>
    <w:rsid w:val="002D3668"/>
    <w:rsid w:val="002D60C1"/>
    <w:rsid w:val="002D7EA2"/>
    <w:rsid w:val="002F20DA"/>
    <w:rsid w:val="002F365A"/>
    <w:rsid w:val="00302288"/>
    <w:rsid w:val="003071F6"/>
    <w:rsid w:val="00311A24"/>
    <w:rsid w:val="00315692"/>
    <w:rsid w:val="00316305"/>
    <w:rsid w:val="0032786D"/>
    <w:rsid w:val="00336053"/>
    <w:rsid w:val="00341B10"/>
    <w:rsid w:val="00345090"/>
    <w:rsid w:val="003457C1"/>
    <w:rsid w:val="00352AF1"/>
    <w:rsid w:val="00357C27"/>
    <w:rsid w:val="00360240"/>
    <w:rsid w:val="0036647F"/>
    <w:rsid w:val="00366CD7"/>
    <w:rsid w:val="00370316"/>
    <w:rsid w:val="003747AF"/>
    <w:rsid w:val="00376022"/>
    <w:rsid w:val="00381B39"/>
    <w:rsid w:val="00382136"/>
    <w:rsid w:val="00382744"/>
    <w:rsid w:val="0038607B"/>
    <w:rsid w:val="003924D2"/>
    <w:rsid w:val="003958B9"/>
    <w:rsid w:val="003964DB"/>
    <w:rsid w:val="003A30D5"/>
    <w:rsid w:val="003A3316"/>
    <w:rsid w:val="003B3100"/>
    <w:rsid w:val="003B411A"/>
    <w:rsid w:val="003C3B03"/>
    <w:rsid w:val="003C53C9"/>
    <w:rsid w:val="003D2115"/>
    <w:rsid w:val="003D3EC2"/>
    <w:rsid w:val="003D431C"/>
    <w:rsid w:val="003D63FB"/>
    <w:rsid w:val="003D6A20"/>
    <w:rsid w:val="003D6D9E"/>
    <w:rsid w:val="003E519D"/>
    <w:rsid w:val="003E7AA8"/>
    <w:rsid w:val="003F5490"/>
    <w:rsid w:val="00405D58"/>
    <w:rsid w:val="00415221"/>
    <w:rsid w:val="00420165"/>
    <w:rsid w:val="00422796"/>
    <w:rsid w:val="00430F92"/>
    <w:rsid w:val="00432E89"/>
    <w:rsid w:val="00433276"/>
    <w:rsid w:val="00436F7E"/>
    <w:rsid w:val="00442DC2"/>
    <w:rsid w:val="004453A2"/>
    <w:rsid w:val="004463EA"/>
    <w:rsid w:val="0044750A"/>
    <w:rsid w:val="00451EEB"/>
    <w:rsid w:val="00454466"/>
    <w:rsid w:val="00474C21"/>
    <w:rsid w:val="00477CEA"/>
    <w:rsid w:val="004812E4"/>
    <w:rsid w:val="00481885"/>
    <w:rsid w:val="0048361A"/>
    <w:rsid w:val="0048391F"/>
    <w:rsid w:val="0048507D"/>
    <w:rsid w:val="00485C42"/>
    <w:rsid w:val="004874CC"/>
    <w:rsid w:val="00495690"/>
    <w:rsid w:val="004A0703"/>
    <w:rsid w:val="004B1070"/>
    <w:rsid w:val="004B1257"/>
    <w:rsid w:val="004B2DA8"/>
    <w:rsid w:val="004B7236"/>
    <w:rsid w:val="004B75B4"/>
    <w:rsid w:val="004C491C"/>
    <w:rsid w:val="004C60C1"/>
    <w:rsid w:val="004E718A"/>
    <w:rsid w:val="004F3567"/>
    <w:rsid w:val="004F7DB5"/>
    <w:rsid w:val="005010AA"/>
    <w:rsid w:val="00501450"/>
    <w:rsid w:val="005064EA"/>
    <w:rsid w:val="0050781B"/>
    <w:rsid w:val="0051231C"/>
    <w:rsid w:val="0051233C"/>
    <w:rsid w:val="00514182"/>
    <w:rsid w:val="00514D27"/>
    <w:rsid w:val="00524303"/>
    <w:rsid w:val="00530190"/>
    <w:rsid w:val="00533495"/>
    <w:rsid w:val="00533977"/>
    <w:rsid w:val="005379D9"/>
    <w:rsid w:val="005416B9"/>
    <w:rsid w:val="005433B7"/>
    <w:rsid w:val="00544E05"/>
    <w:rsid w:val="0054780C"/>
    <w:rsid w:val="00566B7E"/>
    <w:rsid w:val="005738C6"/>
    <w:rsid w:val="00573A5A"/>
    <w:rsid w:val="00573B72"/>
    <w:rsid w:val="00580DD5"/>
    <w:rsid w:val="005825CB"/>
    <w:rsid w:val="005844A3"/>
    <w:rsid w:val="00585B5D"/>
    <w:rsid w:val="005A2E3E"/>
    <w:rsid w:val="005A5E15"/>
    <w:rsid w:val="005A681F"/>
    <w:rsid w:val="005C2E17"/>
    <w:rsid w:val="005C5080"/>
    <w:rsid w:val="005C62C8"/>
    <w:rsid w:val="005D0308"/>
    <w:rsid w:val="005E145E"/>
    <w:rsid w:val="005E25EC"/>
    <w:rsid w:val="005E3F47"/>
    <w:rsid w:val="005E66FF"/>
    <w:rsid w:val="005E733E"/>
    <w:rsid w:val="005E7837"/>
    <w:rsid w:val="005F62A8"/>
    <w:rsid w:val="00603BAF"/>
    <w:rsid w:val="00604EE9"/>
    <w:rsid w:val="00606C67"/>
    <w:rsid w:val="00610201"/>
    <w:rsid w:val="006111AF"/>
    <w:rsid w:val="00617002"/>
    <w:rsid w:val="00620817"/>
    <w:rsid w:val="00621CE8"/>
    <w:rsid w:val="00623197"/>
    <w:rsid w:val="006319AF"/>
    <w:rsid w:val="006404D1"/>
    <w:rsid w:val="006520FE"/>
    <w:rsid w:val="00653A0D"/>
    <w:rsid w:val="00657FC9"/>
    <w:rsid w:val="006603A8"/>
    <w:rsid w:val="00671107"/>
    <w:rsid w:val="00671B75"/>
    <w:rsid w:val="006749E8"/>
    <w:rsid w:val="00675D14"/>
    <w:rsid w:val="00677DAA"/>
    <w:rsid w:val="00682334"/>
    <w:rsid w:val="0068615B"/>
    <w:rsid w:val="0069301A"/>
    <w:rsid w:val="006A2319"/>
    <w:rsid w:val="006A5A2B"/>
    <w:rsid w:val="006B62AF"/>
    <w:rsid w:val="006C456B"/>
    <w:rsid w:val="006E5A62"/>
    <w:rsid w:val="006F15F9"/>
    <w:rsid w:val="006F4DAD"/>
    <w:rsid w:val="006F76CC"/>
    <w:rsid w:val="006F7B7B"/>
    <w:rsid w:val="00706A07"/>
    <w:rsid w:val="00711CDF"/>
    <w:rsid w:val="007216E4"/>
    <w:rsid w:val="00723443"/>
    <w:rsid w:val="007359DC"/>
    <w:rsid w:val="00741DB6"/>
    <w:rsid w:val="00744FA2"/>
    <w:rsid w:val="00752F15"/>
    <w:rsid w:val="00753D96"/>
    <w:rsid w:val="00754C9A"/>
    <w:rsid w:val="007610EB"/>
    <w:rsid w:val="007624AA"/>
    <w:rsid w:val="0076698F"/>
    <w:rsid w:val="007677EB"/>
    <w:rsid w:val="00773B90"/>
    <w:rsid w:val="00785376"/>
    <w:rsid w:val="00785AFF"/>
    <w:rsid w:val="00786CA7"/>
    <w:rsid w:val="00790244"/>
    <w:rsid w:val="007967A4"/>
    <w:rsid w:val="007A0EC6"/>
    <w:rsid w:val="007A3484"/>
    <w:rsid w:val="007A6AD1"/>
    <w:rsid w:val="007C6947"/>
    <w:rsid w:val="007D05A7"/>
    <w:rsid w:val="007D21A1"/>
    <w:rsid w:val="007D3542"/>
    <w:rsid w:val="007D3FCA"/>
    <w:rsid w:val="007D4543"/>
    <w:rsid w:val="007F0FD6"/>
    <w:rsid w:val="007F3001"/>
    <w:rsid w:val="007F784D"/>
    <w:rsid w:val="00800A4D"/>
    <w:rsid w:val="008013F8"/>
    <w:rsid w:val="00801E22"/>
    <w:rsid w:val="00807255"/>
    <w:rsid w:val="00812AF3"/>
    <w:rsid w:val="00817469"/>
    <w:rsid w:val="00831C57"/>
    <w:rsid w:val="008340D6"/>
    <w:rsid w:val="00834E9D"/>
    <w:rsid w:val="0083509D"/>
    <w:rsid w:val="00836F75"/>
    <w:rsid w:val="00840B32"/>
    <w:rsid w:val="00843AD8"/>
    <w:rsid w:val="00846600"/>
    <w:rsid w:val="00860BA9"/>
    <w:rsid w:val="0086619B"/>
    <w:rsid w:val="00866D64"/>
    <w:rsid w:val="00867B49"/>
    <w:rsid w:val="008703FF"/>
    <w:rsid w:val="00874030"/>
    <w:rsid w:val="008750BF"/>
    <w:rsid w:val="00877843"/>
    <w:rsid w:val="00881C4B"/>
    <w:rsid w:val="008944C8"/>
    <w:rsid w:val="008A2002"/>
    <w:rsid w:val="008B1BDD"/>
    <w:rsid w:val="008B3132"/>
    <w:rsid w:val="008D2064"/>
    <w:rsid w:val="008D4FDF"/>
    <w:rsid w:val="008D681D"/>
    <w:rsid w:val="008E1006"/>
    <w:rsid w:val="008F3FC9"/>
    <w:rsid w:val="008F5C75"/>
    <w:rsid w:val="008F7E85"/>
    <w:rsid w:val="0090206F"/>
    <w:rsid w:val="00902711"/>
    <w:rsid w:val="00926900"/>
    <w:rsid w:val="00930A6A"/>
    <w:rsid w:val="00931DEF"/>
    <w:rsid w:val="00933191"/>
    <w:rsid w:val="0093597D"/>
    <w:rsid w:val="00941075"/>
    <w:rsid w:val="00951E8B"/>
    <w:rsid w:val="00957352"/>
    <w:rsid w:val="00957F32"/>
    <w:rsid w:val="00960EF8"/>
    <w:rsid w:val="009800E5"/>
    <w:rsid w:val="009879C1"/>
    <w:rsid w:val="00990613"/>
    <w:rsid w:val="009973B7"/>
    <w:rsid w:val="009A5F74"/>
    <w:rsid w:val="009B0924"/>
    <w:rsid w:val="009B1E8F"/>
    <w:rsid w:val="009B6202"/>
    <w:rsid w:val="009B6A8D"/>
    <w:rsid w:val="009C63AA"/>
    <w:rsid w:val="009D14ED"/>
    <w:rsid w:val="009E1FAF"/>
    <w:rsid w:val="009E6704"/>
    <w:rsid w:val="009E7244"/>
    <w:rsid w:val="009E770F"/>
    <w:rsid w:val="009F2617"/>
    <w:rsid w:val="009F4C86"/>
    <w:rsid w:val="009F6649"/>
    <w:rsid w:val="00A01BFC"/>
    <w:rsid w:val="00A0548F"/>
    <w:rsid w:val="00A05547"/>
    <w:rsid w:val="00A11CF4"/>
    <w:rsid w:val="00A218CD"/>
    <w:rsid w:val="00A37FC2"/>
    <w:rsid w:val="00A438C0"/>
    <w:rsid w:val="00A702EB"/>
    <w:rsid w:val="00A7398B"/>
    <w:rsid w:val="00A757FE"/>
    <w:rsid w:val="00A8756D"/>
    <w:rsid w:val="00A93B59"/>
    <w:rsid w:val="00A94722"/>
    <w:rsid w:val="00A978A5"/>
    <w:rsid w:val="00AA2C23"/>
    <w:rsid w:val="00AB52B3"/>
    <w:rsid w:val="00AC0CAC"/>
    <w:rsid w:val="00AC2F04"/>
    <w:rsid w:val="00AC2F65"/>
    <w:rsid w:val="00AC32E2"/>
    <w:rsid w:val="00AC55C6"/>
    <w:rsid w:val="00AC6C11"/>
    <w:rsid w:val="00AD4F3D"/>
    <w:rsid w:val="00AD5AC8"/>
    <w:rsid w:val="00AE5F1B"/>
    <w:rsid w:val="00AE6271"/>
    <w:rsid w:val="00B06F7F"/>
    <w:rsid w:val="00B103C7"/>
    <w:rsid w:val="00B118CC"/>
    <w:rsid w:val="00B12A61"/>
    <w:rsid w:val="00B21805"/>
    <w:rsid w:val="00B305F8"/>
    <w:rsid w:val="00B31141"/>
    <w:rsid w:val="00B31270"/>
    <w:rsid w:val="00B34920"/>
    <w:rsid w:val="00B35B37"/>
    <w:rsid w:val="00B35D28"/>
    <w:rsid w:val="00B41F2E"/>
    <w:rsid w:val="00B50427"/>
    <w:rsid w:val="00B50753"/>
    <w:rsid w:val="00B55530"/>
    <w:rsid w:val="00B62EAF"/>
    <w:rsid w:val="00B64E41"/>
    <w:rsid w:val="00B73D97"/>
    <w:rsid w:val="00B75D0C"/>
    <w:rsid w:val="00B9068E"/>
    <w:rsid w:val="00B923AF"/>
    <w:rsid w:val="00B93A7C"/>
    <w:rsid w:val="00B94510"/>
    <w:rsid w:val="00B97E1E"/>
    <w:rsid w:val="00BA4E6F"/>
    <w:rsid w:val="00BA532B"/>
    <w:rsid w:val="00BA6AB4"/>
    <w:rsid w:val="00BA75BF"/>
    <w:rsid w:val="00BB159A"/>
    <w:rsid w:val="00BB2671"/>
    <w:rsid w:val="00BB2EBA"/>
    <w:rsid w:val="00BC48C9"/>
    <w:rsid w:val="00BC4D0B"/>
    <w:rsid w:val="00BC59F0"/>
    <w:rsid w:val="00BC66F5"/>
    <w:rsid w:val="00BD2925"/>
    <w:rsid w:val="00BE5936"/>
    <w:rsid w:val="00BF6D79"/>
    <w:rsid w:val="00C01025"/>
    <w:rsid w:val="00C02E6D"/>
    <w:rsid w:val="00C3028E"/>
    <w:rsid w:val="00C316DE"/>
    <w:rsid w:val="00C32EF0"/>
    <w:rsid w:val="00C40DB8"/>
    <w:rsid w:val="00C43B84"/>
    <w:rsid w:val="00C50273"/>
    <w:rsid w:val="00C51AF4"/>
    <w:rsid w:val="00C549BB"/>
    <w:rsid w:val="00C555F8"/>
    <w:rsid w:val="00C61FE5"/>
    <w:rsid w:val="00C65BDA"/>
    <w:rsid w:val="00C725A3"/>
    <w:rsid w:val="00C740C8"/>
    <w:rsid w:val="00C7542F"/>
    <w:rsid w:val="00C763D5"/>
    <w:rsid w:val="00C81327"/>
    <w:rsid w:val="00C90B5F"/>
    <w:rsid w:val="00C915A4"/>
    <w:rsid w:val="00C93169"/>
    <w:rsid w:val="00C93F19"/>
    <w:rsid w:val="00C9447D"/>
    <w:rsid w:val="00CA0E73"/>
    <w:rsid w:val="00CA461D"/>
    <w:rsid w:val="00CC023F"/>
    <w:rsid w:val="00CD29AD"/>
    <w:rsid w:val="00CD4EB7"/>
    <w:rsid w:val="00CE08B5"/>
    <w:rsid w:val="00CE14FF"/>
    <w:rsid w:val="00CE479D"/>
    <w:rsid w:val="00CE5362"/>
    <w:rsid w:val="00CF12A9"/>
    <w:rsid w:val="00D06140"/>
    <w:rsid w:val="00D1259C"/>
    <w:rsid w:val="00D141B3"/>
    <w:rsid w:val="00D1452E"/>
    <w:rsid w:val="00D16199"/>
    <w:rsid w:val="00D177BF"/>
    <w:rsid w:val="00D234C4"/>
    <w:rsid w:val="00D238DF"/>
    <w:rsid w:val="00D43E04"/>
    <w:rsid w:val="00D44269"/>
    <w:rsid w:val="00D46484"/>
    <w:rsid w:val="00D5555D"/>
    <w:rsid w:val="00D61394"/>
    <w:rsid w:val="00D631BF"/>
    <w:rsid w:val="00D66DB2"/>
    <w:rsid w:val="00D763E0"/>
    <w:rsid w:val="00D77476"/>
    <w:rsid w:val="00D86230"/>
    <w:rsid w:val="00D86E3C"/>
    <w:rsid w:val="00D90F2F"/>
    <w:rsid w:val="00D934EE"/>
    <w:rsid w:val="00D9792E"/>
    <w:rsid w:val="00DB248E"/>
    <w:rsid w:val="00DB5F24"/>
    <w:rsid w:val="00DC1C4F"/>
    <w:rsid w:val="00DC71A8"/>
    <w:rsid w:val="00DD3B4E"/>
    <w:rsid w:val="00DD3E55"/>
    <w:rsid w:val="00DD7DCC"/>
    <w:rsid w:val="00DE6E17"/>
    <w:rsid w:val="00DF4A5F"/>
    <w:rsid w:val="00DF712E"/>
    <w:rsid w:val="00E039D1"/>
    <w:rsid w:val="00E03C51"/>
    <w:rsid w:val="00E03CA0"/>
    <w:rsid w:val="00E05514"/>
    <w:rsid w:val="00E0557F"/>
    <w:rsid w:val="00E10DD5"/>
    <w:rsid w:val="00E121E4"/>
    <w:rsid w:val="00E12230"/>
    <w:rsid w:val="00E137D3"/>
    <w:rsid w:val="00E15C35"/>
    <w:rsid w:val="00E169B2"/>
    <w:rsid w:val="00E16B46"/>
    <w:rsid w:val="00E30813"/>
    <w:rsid w:val="00E33C07"/>
    <w:rsid w:val="00E34403"/>
    <w:rsid w:val="00E43CE9"/>
    <w:rsid w:val="00E53460"/>
    <w:rsid w:val="00E664A0"/>
    <w:rsid w:val="00E772ED"/>
    <w:rsid w:val="00E853BB"/>
    <w:rsid w:val="00E86126"/>
    <w:rsid w:val="00EA1D74"/>
    <w:rsid w:val="00EA2889"/>
    <w:rsid w:val="00EA4CD1"/>
    <w:rsid w:val="00EC4719"/>
    <w:rsid w:val="00EC55B3"/>
    <w:rsid w:val="00EC58D6"/>
    <w:rsid w:val="00ED2551"/>
    <w:rsid w:val="00ED58AD"/>
    <w:rsid w:val="00EE57A4"/>
    <w:rsid w:val="00EE5DEF"/>
    <w:rsid w:val="00EE6FCD"/>
    <w:rsid w:val="00EF2373"/>
    <w:rsid w:val="00EF4EA9"/>
    <w:rsid w:val="00EF67C9"/>
    <w:rsid w:val="00F022F8"/>
    <w:rsid w:val="00F02A76"/>
    <w:rsid w:val="00F04A4E"/>
    <w:rsid w:val="00F07EC5"/>
    <w:rsid w:val="00F11A8A"/>
    <w:rsid w:val="00F165DE"/>
    <w:rsid w:val="00F21C46"/>
    <w:rsid w:val="00F25B35"/>
    <w:rsid w:val="00F33111"/>
    <w:rsid w:val="00F33E14"/>
    <w:rsid w:val="00F367FC"/>
    <w:rsid w:val="00F41D80"/>
    <w:rsid w:val="00F44A12"/>
    <w:rsid w:val="00F44D53"/>
    <w:rsid w:val="00F53B3E"/>
    <w:rsid w:val="00F54B10"/>
    <w:rsid w:val="00F563C8"/>
    <w:rsid w:val="00F614A3"/>
    <w:rsid w:val="00F63A6B"/>
    <w:rsid w:val="00F671F7"/>
    <w:rsid w:val="00F73DEB"/>
    <w:rsid w:val="00F77896"/>
    <w:rsid w:val="00F87A72"/>
    <w:rsid w:val="00FA404C"/>
    <w:rsid w:val="00FB2A5C"/>
    <w:rsid w:val="00FB605B"/>
    <w:rsid w:val="00FC508C"/>
    <w:rsid w:val="00FC668B"/>
    <w:rsid w:val="00FD0743"/>
    <w:rsid w:val="00FD4998"/>
    <w:rsid w:val="00FD6A86"/>
    <w:rsid w:val="00FE3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B2C0FD"/>
  <w15:docId w15:val="{A69FF930-0877-43A9-99F1-52E883A47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2">
    <w:name w:val="heading 2"/>
    <w:basedOn w:val="Normal"/>
    <w:link w:val="Heading2Char"/>
    <w:uiPriority w:val="9"/>
    <w:unhideWhenUsed/>
    <w:qFormat/>
    <w:rsid w:val="00E34403"/>
    <w:pPr>
      <w:keepNext/>
      <w:widowControl/>
      <w:autoSpaceDE/>
      <w:autoSpaceDN/>
      <w:spacing w:before="480" w:after="240" w:line="276" w:lineRule="auto"/>
      <w:outlineLvl w:val="1"/>
    </w:pPr>
    <w:rPr>
      <w:rFonts w:ascii="Tahoma" w:eastAsiaTheme="minorHAnsi" w:hAnsi="Tahoma" w:cs="Tahoma"/>
      <w:b/>
      <w:bCs/>
      <w:color w:val="2F5496"/>
      <w:sz w:val="24"/>
      <w:szCs w:val="24"/>
      <w:lang w:eastAsia="en-US" w:bidi="ar-SA"/>
    </w:rPr>
  </w:style>
  <w:style w:type="paragraph" w:styleId="Heading3">
    <w:name w:val="heading 3"/>
    <w:basedOn w:val="Normal"/>
    <w:next w:val="Normal"/>
    <w:link w:val="Heading3Char"/>
    <w:uiPriority w:val="9"/>
    <w:semiHidden/>
    <w:unhideWhenUsed/>
    <w:qFormat/>
    <w:rsid w:val="0014774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53D96"/>
    <w:pPr>
      <w:tabs>
        <w:tab w:val="center" w:pos="4513"/>
        <w:tab w:val="right" w:pos="9026"/>
      </w:tabs>
    </w:pPr>
  </w:style>
  <w:style w:type="character" w:customStyle="1" w:styleId="HeaderChar">
    <w:name w:val="Header Char"/>
    <w:basedOn w:val="DefaultParagraphFont"/>
    <w:link w:val="Header"/>
    <w:uiPriority w:val="99"/>
    <w:rsid w:val="00753D96"/>
    <w:rPr>
      <w:rFonts w:ascii="Arial" w:eastAsia="Arial" w:hAnsi="Arial" w:cs="Arial"/>
      <w:lang w:val="en-GB" w:eastAsia="en-GB" w:bidi="en-GB"/>
    </w:rPr>
  </w:style>
  <w:style w:type="paragraph" w:styleId="Footer">
    <w:name w:val="footer"/>
    <w:basedOn w:val="Normal"/>
    <w:link w:val="FooterChar"/>
    <w:uiPriority w:val="99"/>
    <w:unhideWhenUsed/>
    <w:rsid w:val="00753D96"/>
    <w:pPr>
      <w:tabs>
        <w:tab w:val="center" w:pos="4513"/>
        <w:tab w:val="right" w:pos="9026"/>
      </w:tabs>
    </w:pPr>
  </w:style>
  <w:style w:type="character" w:customStyle="1" w:styleId="FooterChar">
    <w:name w:val="Footer Char"/>
    <w:basedOn w:val="DefaultParagraphFont"/>
    <w:link w:val="Footer"/>
    <w:uiPriority w:val="99"/>
    <w:rsid w:val="00753D96"/>
    <w:rPr>
      <w:rFonts w:ascii="Arial" w:eastAsia="Arial" w:hAnsi="Arial" w:cs="Arial"/>
      <w:lang w:val="en-GB" w:eastAsia="en-GB" w:bidi="en-GB"/>
    </w:rPr>
  </w:style>
  <w:style w:type="paragraph" w:styleId="BalloonText">
    <w:name w:val="Balloon Text"/>
    <w:basedOn w:val="Normal"/>
    <w:link w:val="BalloonTextChar"/>
    <w:uiPriority w:val="99"/>
    <w:semiHidden/>
    <w:unhideWhenUsed/>
    <w:rsid w:val="00D43E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E04"/>
    <w:rPr>
      <w:rFonts w:ascii="Segoe UI" w:eastAsia="Arial" w:hAnsi="Segoe UI" w:cs="Segoe UI"/>
      <w:sz w:val="18"/>
      <w:szCs w:val="18"/>
      <w:lang w:val="en-GB" w:eastAsia="en-GB" w:bidi="en-GB"/>
    </w:rPr>
  </w:style>
  <w:style w:type="character" w:customStyle="1" w:styleId="Heading2Char">
    <w:name w:val="Heading 2 Char"/>
    <w:basedOn w:val="DefaultParagraphFont"/>
    <w:link w:val="Heading2"/>
    <w:uiPriority w:val="9"/>
    <w:rsid w:val="00E34403"/>
    <w:rPr>
      <w:rFonts w:ascii="Tahoma" w:hAnsi="Tahoma" w:cs="Tahoma"/>
      <w:b/>
      <w:bCs/>
      <w:color w:val="2F5496"/>
      <w:sz w:val="24"/>
      <w:szCs w:val="24"/>
      <w:lang w:val="en-GB"/>
    </w:rPr>
  </w:style>
  <w:style w:type="character" w:styleId="Hyperlink">
    <w:name w:val="Hyperlink"/>
    <w:basedOn w:val="DefaultParagraphFont"/>
    <w:uiPriority w:val="99"/>
    <w:unhideWhenUsed/>
    <w:rsid w:val="00E34403"/>
    <w:rPr>
      <w:color w:val="0563C1"/>
      <w:u w:val="single"/>
    </w:rPr>
  </w:style>
  <w:style w:type="character" w:styleId="UnresolvedMention">
    <w:name w:val="Unresolved Mention"/>
    <w:basedOn w:val="DefaultParagraphFont"/>
    <w:uiPriority w:val="99"/>
    <w:semiHidden/>
    <w:unhideWhenUsed/>
    <w:rsid w:val="00881C4B"/>
    <w:rPr>
      <w:color w:val="605E5C"/>
      <w:shd w:val="clear" w:color="auto" w:fill="E1DFDD"/>
    </w:rPr>
  </w:style>
  <w:style w:type="character" w:customStyle="1" w:styleId="Heading3Char">
    <w:name w:val="Heading 3 Char"/>
    <w:basedOn w:val="DefaultParagraphFont"/>
    <w:link w:val="Heading3"/>
    <w:uiPriority w:val="9"/>
    <w:semiHidden/>
    <w:rsid w:val="00147742"/>
    <w:rPr>
      <w:rFonts w:asciiTheme="majorHAnsi" w:eastAsiaTheme="majorEastAsia" w:hAnsiTheme="majorHAnsi" w:cstheme="majorBidi"/>
      <w:color w:val="243F60" w:themeColor="accent1" w:themeShade="7F"/>
      <w:sz w:val="24"/>
      <w:szCs w:val="24"/>
      <w:lang w:val="en-GB" w:eastAsia="en-GB" w:bidi="en-GB"/>
    </w:rPr>
  </w:style>
  <w:style w:type="character" w:styleId="FollowedHyperlink">
    <w:name w:val="FollowedHyperlink"/>
    <w:basedOn w:val="DefaultParagraphFont"/>
    <w:uiPriority w:val="99"/>
    <w:semiHidden/>
    <w:unhideWhenUsed/>
    <w:rsid w:val="008B1BDD"/>
    <w:rPr>
      <w:color w:val="800080" w:themeColor="followedHyperlink"/>
      <w:u w:val="single"/>
    </w:rPr>
  </w:style>
  <w:style w:type="character" w:styleId="CommentReference">
    <w:name w:val="annotation reference"/>
    <w:basedOn w:val="DefaultParagraphFont"/>
    <w:uiPriority w:val="99"/>
    <w:semiHidden/>
    <w:unhideWhenUsed/>
    <w:rsid w:val="00F33111"/>
    <w:rPr>
      <w:sz w:val="16"/>
      <w:szCs w:val="16"/>
    </w:rPr>
  </w:style>
  <w:style w:type="paragraph" w:styleId="CommentText">
    <w:name w:val="annotation text"/>
    <w:basedOn w:val="Normal"/>
    <w:link w:val="CommentTextChar"/>
    <w:uiPriority w:val="99"/>
    <w:unhideWhenUsed/>
    <w:rsid w:val="00F33111"/>
    <w:rPr>
      <w:sz w:val="20"/>
      <w:szCs w:val="20"/>
    </w:rPr>
  </w:style>
  <w:style w:type="character" w:customStyle="1" w:styleId="CommentTextChar">
    <w:name w:val="Comment Text Char"/>
    <w:basedOn w:val="DefaultParagraphFont"/>
    <w:link w:val="CommentText"/>
    <w:uiPriority w:val="99"/>
    <w:rsid w:val="00F33111"/>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F33111"/>
    <w:rPr>
      <w:b/>
      <w:bCs/>
    </w:rPr>
  </w:style>
  <w:style w:type="character" w:customStyle="1" w:styleId="CommentSubjectChar">
    <w:name w:val="Comment Subject Char"/>
    <w:basedOn w:val="CommentTextChar"/>
    <w:link w:val="CommentSubject"/>
    <w:uiPriority w:val="99"/>
    <w:semiHidden/>
    <w:rsid w:val="00F33111"/>
    <w:rPr>
      <w:rFonts w:ascii="Arial" w:eastAsia="Arial" w:hAnsi="Arial" w:cs="Arial"/>
      <w:b/>
      <w:bCs/>
      <w:sz w:val="20"/>
      <w:szCs w:val="20"/>
      <w:lang w:val="en-GB" w:eastAsia="en-GB" w:bidi="en-GB"/>
    </w:rPr>
  </w:style>
  <w:style w:type="table" w:styleId="TableGrid">
    <w:name w:val="Table Grid"/>
    <w:basedOn w:val="TableNormal"/>
    <w:uiPriority w:val="39"/>
    <w:rsid w:val="00E30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94722"/>
    <w:rPr>
      <w:sz w:val="20"/>
      <w:szCs w:val="20"/>
    </w:rPr>
  </w:style>
  <w:style w:type="character" w:customStyle="1" w:styleId="FootnoteTextChar">
    <w:name w:val="Footnote Text Char"/>
    <w:basedOn w:val="DefaultParagraphFont"/>
    <w:link w:val="FootnoteText"/>
    <w:uiPriority w:val="99"/>
    <w:semiHidden/>
    <w:rsid w:val="00A94722"/>
    <w:rPr>
      <w:rFonts w:ascii="Arial" w:eastAsia="Arial" w:hAnsi="Arial" w:cs="Arial"/>
      <w:sz w:val="20"/>
      <w:szCs w:val="20"/>
      <w:lang w:val="en-GB" w:eastAsia="en-GB" w:bidi="en-GB"/>
    </w:rPr>
  </w:style>
  <w:style w:type="character" w:styleId="FootnoteReference">
    <w:name w:val="footnote reference"/>
    <w:basedOn w:val="DefaultParagraphFont"/>
    <w:uiPriority w:val="99"/>
    <w:semiHidden/>
    <w:unhideWhenUsed/>
    <w:rsid w:val="00A947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973687">
      <w:bodyDiv w:val="1"/>
      <w:marLeft w:val="0"/>
      <w:marRight w:val="0"/>
      <w:marTop w:val="0"/>
      <w:marBottom w:val="0"/>
      <w:divBdr>
        <w:top w:val="none" w:sz="0" w:space="0" w:color="auto"/>
        <w:left w:val="none" w:sz="0" w:space="0" w:color="auto"/>
        <w:bottom w:val="none" w:sz="0" w:space="0" w:color="auto"/>
        <w:right w:val="none" w:sz="0" w:space="0" w:color="auto"/>
      </w:divBdr>
    </w:div>
    <w:div w:id="1573545638">
      <w:bodyDiv w:val="1"/>
      <w:marLeft w:val="0"/>
      <w:marRight w:val="0"/>
      <w:marTop w:val="0"/>
      <w:marBottom w:val="0"/>
      <w:divBdr>
        <w:top w:val="none" w:sz="0" w:space="0" w:color="auto"/>
        <w:left w:val="none" w:sz="0" w:space="0" w:color="auto"/>
        <w:bottom w:val="none" w:sz="0" w:space="0" w:color="auto"/>
        <w:right w:val="none" w:sz="0" w:space="0" w:color="auto"/>
      </w:divBdr>
    </w:div>
    <w:div w:id="1738897643">
      <w:bodyDiv w:val="1"/>
      <w:marLeft w:val="0"/>
      <w:marRight w:val="0"/>
      <w:marTop w:val="0"/>
      <w:marBottom w:val="0"/>
      <w:divBdr>
        <w:top w:val="none" w:sz="0" w:space="0" w:color="auto"/>
        <w:left w:val="none" w:sz="0" w:space="0" w:color="auto"/>
        <w:bottom w:val="none" w:sz="0" w:space="0" w:color="auto"/>
        <w:right w:val="none" w:sz="0" w:space="0" w:color="auto"/>
      </w:divBdr>
    </w:div>
    <w:div w:id="19912484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ilexregulation.org.uk/wp-content/uploads/2022/09/Advocacy-course-provider-accreditation-handbook-part-2-2020.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ilexregulation.org.uk/wp-content/uploads/2022/09/Advocacy-course-provider-accreditation-handbook-part-12020.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uk/ukpga/2007/29/section/18"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nsultations@cilexregulation.org.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749C857EC0DA45BB1EBF48892C84B5" ma:contentTypeVersion="6" ma:contentTypeDescription="Create a new document." ma:contentTypeScope="" ma:versionID="6e9ebef76d4b55710900ea58c8a4e5e2">
  <xsd:schema xmlns:xsd="http://www.w3.org/2001/XMLSchema" xmlns:xs="http://www.w3.org/2001/XMLSchema" xmlns:p="http://schemas.microsoft.com/office/2006/metadata/properties" xmlns:ns2="c42e8943-f854-4cdb-9c5d-67e42ce9ea1e" xmlns:ns3="2ecc8f1e-313e-4607-ab65-147084fc69d0" targetNamespace="http://schemas.microsoft.com/office/2006/metadata/properties" ma:root="true" ma:fieldsID="a79e07680449858c9ef21aab73593687" ns2:_="" ns3:_="">
    <xsd:import namespace="c42e8943-f854-4cdb-9c5d-67e42ce9ea1e"/>
    <xsd:import namespace="2ecc8f1e-313e-4607-ab65-147084fc69d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2e8943-f854-4cdb-9c5d-67e42ce9ea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cc8f1e-313e-4607-ab65-147084fc69d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62E7E-5747-4702-A3D6-0AD07BF1B5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2e8943-f854-4cdb-9c5d-67e42ce9ea1e"/>
    <ds:schemaRef ds:uri="2ecc8f1e-313e-4607-ab65-147084fc69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B6990F-19E2-409B-B74E-CED734743C9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7E3A596-3EAD-4D50-BAAA-893863C5C89C}">
  <ds:schemaRefs>
    <ds:schemaRef ds:uri="http://schemas.microsoft.com/sharepoint/v3/contenttype/forms"/>
  </ds:schemaRefs>
</ds:datastoreItem>
</file>

<file path=customXml/itemProps4.xml><?xml version="1.0" encoding="utf-8"?>
<ds:datastoreItem xmlns:ds="http://schemas.openxmlformats.org/officeDocument/2006/customXml" ds:itemID="{E9D05404-A52D-473D-B194-D6DBCB14F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1952</Words>
  <Characters>11131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13057</CharactersWithSpaces>
  <SharedDoc>false</SharedDoc>
  <HLinks>
    <vt:vector size="12" baseType="variant">
      <vt:variant>
        <vt:i4>7995392</vt:i4>
      </vt:variant>
      <vt:variant>
        <vt:i4>3</vt:i4>
      </vt:variant>
      <vt:variant>
        <vt:i4>0</vt:i4>
      </vt:variant>
      <vt:variant>
        <vt:i4>5</vt:i4>
      </vt:variant>
      <vt:variant>
        <vt:lpwstr>mailto:consultations@cilexregulation.org.uk</vt:lpwstr>
      </vt:variant>
      <vt:variant>
        <vt:lpwstr/>
      </vt:variant>
      <vt:variant>
        <vt:i4>1769484</vt:i4>
      </vt:variant>
      <vt:variant>
        <vt:i4>0</vt:i4>
      </vt:variant>
      <vt:variant>
        <vt:i4>0</vt:i4>
      </vt:variant>
      <vt:variant>
        <vt:i4>5</vt:i4>
      </vt:variant>
      <vt:variant>
        <vt:lpwstr>https://cilexregulation.org.uk/closed-consultations/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Charnock</dc:creator>
  <cp:keywords/>
  <cp:lastModifiedBy>Victoria Purtill</cp:lastModifiedBy>
  <cp:revision>2</cp:revision>
  <cp:lastPrinted>2021-06-24T15:36:00Z</cp:lastPrinted>
  <dcterms:created xsi:type="dcterms:W3CDTF">2022-09-29T08:27:00Z</dcterms:created>
  <dcterms:modified xsi:type="dcterms:W3CDTF">2022-09-29T08:27:00Z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2020-02-09T00:00:00Z</vt:filetime>
  </property>
  <property fmtid="{D5CDD505-2E9C-101B-9397-08002B2CF9AE}" pid="3" name="Creator">
    <vt:lpwstr>Adobe InDesign 15.0 (Macintosh)</vt:lpwstr>
  </property>
  <property fmtid="{D5CDD505-2E9C-101B-9397-08002B2CF9AE}" pid="4" name="LastSaved">
    <vt:filetime>2020-02-09T00:00:00Z</vt:filetime>
  </property>
  <property fmtid="{D5CDD505-2E9C-101B-9397-08002B2CF9AE}" pid="5" name="ContentTypeId">
    <vt:lpwstr>0x01010071749C857EC0DA45BB1EBF48892C84B5</vt:lpwstr>
  </property>
</Properties>
</file>